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7D3693" w:rsidRDefault="0063295E" w:rsidP="00B72322">
      <w:pPr>
        <w:spacing w:before="240" w:after="240" w:line="360" w:lineRule="auto"/>
        <w:jc w:val="right"/>
        <w:rPr>
          <w:rFonts w:ascii="Palatino Linotype" w:hAnsi="Palatino Linotype"/>
          <w:b/>
          <w:sz w:val="24"/>
          <w:szCs w:val="24"/>
        </w:rPr>
      </w:pPr>
      <w:r w:rsidRPr="007D3693">
        <w:rPr>
          <w:rFonts w:ascii="Palatino Linotype" w:hAnsi="Palatino Linotype"/>
          <w:b/>
          <w:sz w:val="24"/>
          <w:szCs w:val="24"/>
        </w:rPr>
        <w:t>Metepec, México.</w:t>
      </w:r>
    </w:p>
    <w:p w:rsidR="00B72322" w:rsidRPr="007D3693" w:rsidRDefault="00863528" w:rsidP="00B72322">
      <w:pPr>
        <w:spacing w:before="240" w:after="240" w:line="360" w:lineRule="auto"/>
        <w:jc w:val="right"/>
        <w:rPr>
          <w:rFonts w:ascii="Palatino Linotype" w:hAnsi="Palatino Linotype"/>
          <w:b/>
          <w:sz w:val="24"/>
          <w:szCs w:val="24"/>
        </w:rPr>
      </w:pPr>
      <w:r w:rsidRPr="007D3693">
        <w:rPr>
          <w:rFonts w:ascii="Palatino Linotype" w:hAnsi="Palatino Linotype"/>
          <w:b/>
          <w:sz w:val="24"/>
          <w:szCs w:val="24"/>
        </w:rPr>
        <w:t>Febrero</w:t>
      </w:r>
      <w:r w:rsidR="005604F4" w:rsidRPr="007D3693">
        <w:rPr>
          <w:rFonts w:ascii="Palatino Linotype" w:hAnsi="Palatino Linotype"/>
          <w:b/>
          <w:sz w:val="24"/>
          <w:szCs w:val="24"/>
        </w:rPr>
        <w:t xml:space="preserve"> </w:t>
      </w:r>
      <w:r w:rsidRPr="007D3693">
        <w:rPr>
          <w:rFonts w:ascii="Palatino Linotype" w:hAnsi="Palatino Linotype"/>
          <w:b/>
          <w:sz w:val="24"/>
          <w:szCs w:val="24"/>
        </w:rPr>
        <w:t>25</w:t>
      </w:r>
      <w:r w:rsidR="004C7C6B" w:rsidRPr="007D3693">
        <w:rPr>
          <w:rFonts w:ascii="Palatino Linotype" w:hAnsi="Palatino Linotype"/>
          <w:b/>
          <w:sz w:val="24"/>
          <w:szCs w:val="24"/>
        </w:rPr>
        <w:t xml:space="preserve"> de 201</w:t>
      </w:r>
      <w:r w:rsidRPr="007D3693">
        <w:rPr>
          <w:rFonts w:ascii="Palatino Linotype" w:hAnsi="Palatino Linotype"/>
          <w:b/>
          <w:sz w:val="24"/>
          <w:szCs w:val="24"/>
        </w:rPr>
        <w:t>9</w:t>
      </w:r>
    </w:p>
    <w:p w:rsidR="00B72322" w:rsidRPr="007D3693" w:rsidRDefault="00B72322" w:rsidP="00B72322">
      <w:pPr>
        <w:spacing w:before="240" w:after="240" w:line="360" w:lineRule="auto"/>
        <w:jc w:val="both"/>
        <w:rPr>
          <w:rFonts w:ascii="Palatino Linotype" w:hAnsi="Palatino Linotype"/>
          <w:b/>
          <w:sz w:val="24"/>
          <w:szCs w:val="24"/>
        </w:rPr>
      </w:pPr>
      <w:r w:rsidRPr="007D3693">
        <w:rPr>
          <w:rFonts w:ascii="Palatino Linotype" w:hAnsi="Palatino Linotype"/>
          <w:b/>
          <w:noProof/>
          <w:sz w:val="24"/>
          <w:szCs w:val="24"/>
          <w:lang w:eastAsia="es-MX"/>
        </w:rPr>
        <mc:AlternateContent>
          <mc:Choice Requires="wps">
            <w:drawing>
              <wp:anchor distT="0" distB="0" distL="114300" distR="114300" simplePos="0" relativeHeight="251658752"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v:textbox>
                <w10:wrap anchorx="margin" anchory="margin"/>
              </v:shape>
            </w:pict>
          </mc:Fallback>
        </mc:AlternateContent>
      </w:r>
      <w:r w:rsidRPr="007D3693">
        <w:rPr>
          <w:rFonts w:ascii="Palatino Linotype" w:hAnsi="Palatino Linotype"/>
          <w:b/>
          <w:sz w:val="24"/>
          <w:szCs w:val="24"/>
        </w:rPr>
        <w:t xml:space="preserve">VOTO </w:t>
      </w:r>
      <w:r w:rsidR="00903763" w:rsidRPr="007D3693">
        <w:rPr>
          <w:rFonts w:ascii="Palatino Linotype" w:hAnsi="Palatino Linotype"/>
          <w:b/>
          <w:sz w:val="24"/>
          <w:szCs w:val="24"/>
        </w:rPr>
        <w:t>DISIDENTE</w:t>
      </w:r>
      <w:r w:rsidRPr="007D3693">
        <w:rPr>
          <w:rFonts w:ascii="Palatino Linotype" w:hAnsi="Palatino Linotype"/>
          <w:b/>
          <w:sz w:val="24"/>
          <w:szCs w:val="24"/>
        </w:rPr>
        <w:t xml:space="preserve"> </w:t>
      </w:r>
      <w:r w:rsidR="004C7C6B" w:rsidRPr="007D3693">
        <w:rPr>
          <w:rFonts w:ascii="Palatino Linotype" w:hAnsi="Palatino Linotype"/>
          <w:b/>
          <w:sz w:val="24"/>
          <w:szCs w:val="24"/>
        </w:rPr>
        <w:t>QUE FORMULA</w:t>
      </w:r>
      <w:r w:rsidRPr="007D3693">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7B7B3B" w:rsidRPr="007D3693">
        <w:rPr>
          <w:rFonts w:ascii="Palatino Linotype" w:hAnsi="Palatino Linotype"/>
          <w:b/>
          <w:sz w:val="24"/>
          <w:szCs w:val="24"/>
        </w:rPr>
        <w:t>SÉPTIMA</w:t>
      </w:r>
      <w:r w:rsidRPr="007D3693">
        <w:rPr>
          <w:rFonts w:ascii="Palatino Linotype" w:hAnsi="Palatino Linotype"/>
          <w:b/>
          <w:sz w:val="24"/>
          <w:szCs w:val="24"/>
        </w:rPr>
        <w:t xml:space="preserve"> SESIÓN ORDINARIA DEL </w:t>
      </w:r>
      <w:r w:rsidR="007B7B3B" w:rsidRPr="007D3693">
        <w:rPr>
          <w:rFonts w:ascii="Palatino Linotype" w:hAnsi="Palatino Linotype"/>
          <w:b/>
          <w:sz w:val="24"/>
          <w:szCs w:val="24"/>
        </w:rPr>
        <w:t>VEINTE</w:t>
      </w:r>
      <w:r w:rsidR="00656A53" w:rsidRPr="007D3693">
        <w:rPr>
          <w:rFonts w:ascii="Palatino Linotype" w:hAnsi="Palatino Linotype"/>
          <w:b/>
          <w:sz w:val="24"/>
          <w:szCs w:val="24"/>
        </w:rPr>
        <w:t xml:space="preserve"> </w:t>
      </w:r>
      <w:r w:rsidR="005604F4" w:rsidRPr="007D3693">
        <w:rPr>
          <w:rFonts w:ascii="Palatino Linotype" w:hAnsi="Palatino Linotype"/>
          <w:b/>
          <w:sz w:val="24"/>
          <w:szCs w:val="24"/>
        </w:rPr>
        <w:t xml:space="preserve">DE </w:t>
      </w:r>
      <w:r w:rsidR="007B7B3B" w:rsidRPr="007D3693">
        <w:rPr>
          <w:rFonts w:ascii="Palatino Linotype" w:hAnsi="Palatino Linotype"/>
          <w:b/>
          <w:sz w:val="24"/>
          <w:szCs w:val="24"/>
        </w:rPr>
        <w:t>FEBRERO</w:t>
      </w:r>
      <w:r w:rsidR="00656A53" w:rsidRPr="007D3693">
        <w:rPr>
          <w:rFonts w:ascii="Palatino Linotype" w:hAnsi="Palatino Linotype"/>
          <w:b/>
          <w:sz w:val="24"/>
          <w:szCs w:val="24"/>
        </w:rPr>
        <w:t xml:space="preserve"> </w:t>
      </w:r>
      <w:r w:rsidRPr="007D3693">
        <w:rPr>
          <w:rFonts w:ascii="Palatino Linotype" w:hAnsi="Palatino Linotype"/>
          <w:b/>
          <w:sz w:val="24"/>
          <w:szCs w:val="24"/>
        </w:rPr>
        <w:t xml:space="preserve">DE DOS MIL </w:t>
      </w:r>
      <w:r w:rsidR="0043077C" w:rsidRPr="007D3693">
        <w:rPr>
          <w:rFonts w:ascii="Palatino Linotype" w:hAnsi="Palatino Linotype"/>
          <w:b/>
          <w:sz w:val="24"/>
          <w:szCs w:val="24"/>
        </w:rPr>
        <w:t>DIECI</w:t>
      </w:r>
      <w:r w:rsidR="007B7B3B" w:rsidRPr="007D3693">
        <w:rPr>
          <w:rFonts w:ascii="Palatino Linotype" w:hAnsi="Palatino Linotype"/>
          <w:b/>
          <w:sz w:val="24"/>
          <w:szCs w:val="24"/>
        </w:rPr>
        <w:t>NUEVE</w:t>
      </w:r>
      <w:r w:rsidR="0043077C" w:rsidRPr="007D3693">
        <w:rPr>
          <w:rFonts w:ascii="Palatino Linotype" w:hAnsi="Palatino Linotype"/>
          <w:b/>
          <w:sz w:val="24"/>
          <w:szCs w:val="24"/>
        </w:rPr>
        <w:t>, EN EL</w:t>
      </w:r>
      <w:r w:rsidRPr="007D3693">
        <w:rPr>
          <w:rFonts w:ascii="Palatino Linotype" w:hAnsi="Palatino Linotype"/>
          <w:b/>
          <w:sz w:val="24"/>
          <w:szCs w:val="24"/>
        </w:rPr>
        <w:t xml:space="preserve"> RECURSO DE REVISIÓN </w:t>
      </w:r>
      <w:r w:rsidR="007B7B3B" w:rsidRPr="007D3693">
        <w:rPr>
          <w:rFonts w:ascii="Palatino Linotype" w:hAnsi="Palatino Linotype"/>
          <w:b/>
          <w:sz w:val="24"/>
          <w:szCs w:val="24"/>
        </w:rPr>
        <w:t>00092/INFOEM/AD/RR/2019.</w:t>
      </w:r>
    </w:p>
    <w:p w:rsidR="001B4ED5" w:rsidRPr="007D3693" w:rsidRDefault="00B72322" w:rsidP="00656A53">
      <w:pPr>
        <w:spacing w:before="240" w:after="240" w:line="360" w:lineRule="auto"/>
        <w:jc w:val="both"/>
        <w:rPr>
          <w:rFonts w:ascii="Palatino Linotype" w:hAnsi="Palatino Linotype"/>
          <w:sz w:val="24"/>
          <w:szCs w:val="24"/>
        </w:rPr>
      </w:pPr>
      <w:r w:rsidRPr="007D3693">
        <w:rPr>
          <w:rFonts w:ascii="Palatino Linotype" w:hAnsi="Palatino Linotype"/>
          <w:sz w:val="24"/>
          <w:szCs w:val="24"/>
        </w:rPr>
        <w:t xml:space="preserve">El Pleno del Instituto de Transparencia, Acceso a la Información Pública y Protección de Datos Personales del Estado de México resolvió por </w:t>
      </w:r>
      <w:r w:rsidR="002261E8" w:rsidRPr="007D3693">
        <w:rPr>
          <w:rFonts w:ascii="Palatino Linotype" w:hAnsi="Palatino Linotype"/>
          <w:sz w:val="24"/>
          <w:szCs w:val="24"/>
        </w:rPr>
        <w:t>mayoría</w:t>
      </w:r>
      <w:r w:rsidRPr="007D3693">
        <w:rPr>
          <w:rFonts w:ascii="Palatino Linotype" w:hAnsi="Palatino Linotype"/>
          <w:sz w:val="24"/>
          <w:szCs w:val="24"/>
        </w:rPr>
        <w:t xml:space="preserve"> de voto</w:t>
      </w:r>
      <w:r w:rsidR="001B4ED5" w:rsidRPr="007D3693">
        <w:rPr>
          <w:rFonts w:ascii="Palatino Linotype" w:hAnsi="Palatino Linotype"/>
          <w:sz w:val="24"/>
          <w:szCs w:val="24"/>
        </w:rPr>
        <w:t>s,  la resolución relativa al</w:t>
      </w:r>
      <w:r w:rsidR="00BA0C02" w:rsidRPr="007D3693">
        <w:rPr>
          <w:rFonts w:ascii="Palatino Linotype" w:hAnsi="Palatino Linotype"/>
          <w:sz w:val="24"/>
          <w:szCs w:val="24"/>
        </w:rPr>
        <w:t xml:space="preserve"> recurso de revisión </w:t>
      </w:r>
      <w:r w:rsidR="001B4ED5" w:rsidRPr="007D3693">
        <w:rPr>
          <w:rFonts w:ascii="Palatino Linotype" w:hAnsi="Palatino Linotype" w:cs="Arial"/>
          <w:bCs/>
          <w:sz w:val="24"/>
          <w:szCs w:val="24"/>
          <w:lang w:eastAsia="es-MX"/>
        </w:rPr>
        <w:t>00092/INFOEM/AD/RR/2019</w:t>
      </w:r>
      <w:r w:rsidR="00A45529" w:rsidRPr="007D3693">
        <w:rPr>
          <w:rFonts w:ascii="Palatino Linotype" w:hAnsi="Palatino Linotype" w:cs="Arial"/>
          <w:bCs/>
          <w:sz w:val="24"/>
          <w:szCs w:val="24"/>
          <w:lang w:eastAsia="es-MX"/>
        </w:rPr>
        <w:t>,</w:t>
      </w:r>
      <w:r w:rsidR="00146F5D" w:rsidRPr="007D3693">
        <w:rPr>
          <w:rFonts w:ascii="Palatino Linotype" w:hAnsi="Palatino Linotype" w:cs="Arial"/>
          <w:bCs/>
          <w:sz w:val="24"/>
          <w:szCs w:val="24"/>
          <w:lang w:eastAsia="es-MX"/>
        </w:rPr>
        <w:t xml:space="preserve"> </w:t>
      </w:r>
      <w:r w:rsidR="00AC664A" w:rsidRPr="007D3693">
        <w:rPr>
          <w:rFonts w:ascii="Palatino Linotype" w:hAnsi="Palatino Linotype"/>
          <w:sz w:val="24"/>
          <w:szCs w:val="24"/>
        </w:rPr>
        <w:t xml:space="preserve">presentada por </w:t>
      </w:r>
      <w:r w:rsidR="00146F5D" w:rsidRPr="007D3693">
        <w:rPr>
          <w:rFonts w:ascii="Palatino Linotype" w:hAnsi="Palatino Linotype"/>
          <w:sz w:val="24"/>
          <w:szCs w:val="24"/>
        </w:rPr>
        <w:t>l</w:t>
      </w:r>
      <w:r w:rsidR="00656A53" w:rsidRPr="007D3693">
        <w:rPr>
          <w:rFonts w:ascii="Palatino Linotype" w:hAnsi="Palatino Linotype"/>
          <w:sz w:val="24"/>
          <w:szCs w:val="24"/>
        </w:rPr>
        <w:t>a</w:t>
      </w:r>
      <w:r w:rsidR="00146F5D" w:rsidRPr="007D3693">
        <w:rPr>
          <w:rFonts w:ascii="Palatino Linotype" w:hAnsi="Palatino Linotype"/>
          <w:sz w:val="24"/>
          <w:szCs w:val="24"/>
        </w:rPr>
        <w:t xml:space="preserve"> Comisionad</w:t>
      </w:r>
      <w:r w:rsidR="00656A53" w:rsidRPr="007D3693">
        <w:rPr>
          <w:rFonts w:ascii="Palatino Linotype" w:hAnsi="Palatino Linotype"/>
          <w:sz w:val="24"/>
          <w:szCs w:val="24"/>
        </w:rPr>
        <w:t>a</w:t>
      </w:r>
      <w:r w:rsidR="00146F5D" w:rsidRPr="007D3693">
        <w:rPr>
          <w:rFonts w:ascii="Palatino Linotype" w:hAnsi="Palatino Linotype"/>
          <w:sz w:val="24"/>
          <w:szCs w:val="24"/>
        </w:rPr>
        <w:t xml:space="preserve"> </w:t>
      </w:r>
      <w:r w:rsidR="001B4ED5" w:rsidRPr="007D3693">
        <w:rPr>
          <w:rFonts w:ascii="Palatino Linotype" w:hAnsi="Palatino Linotype"/>
          <w:sz w:val="24"/>
          <w:szCs w:val="24"/>
        </w:rPr>
        <w:t>Eva Abaid Yapur</w:t>
      </w:r>
      <w:r w:rsidRPr="007D3693">
        <w:rPr>
          <w:rFonts w:ascii="Palatino Linotype" w:hAnsi="Palatino Linotype"/>
          <w:sz w:val="24"/>
          <w:szCs w:val="24"/>
        </w:rPr>
        <w:t xml:space="preserve">, respecto de la cual, </w:t>
      </w:r>
      <w:r w:rsidR="0043077C" w:rsidRPr="007D3693">
        <w:rPr>
          <w:rFonts w:ascii="Palatino Linotype" w:hAnsi="Palatino Linotype"/>
          <w:sz w:val="24"/>
          <w:szCs w:val="24"/>
        </w:rPr>
        <w:t xml:space="preserve">el </w:t>
      </w:r>
      <w:r w:rsidRPr="007D3693">
        <w:rPr>
          <w:rFonts w:ascii="Palatino Linotype" w:hAnsi="Palatino Linotype"/>
          <w:sz w:val="24"/>
          <w:szCs w:val="24"/>
        </w:rPr>
        <w:t>suscrito</w:t>
      </w:r>
      <w:r w:rsidR="0043077C" w:rsidRPr="007D3693">
        <w:rPr>
          <w:rFonts w:ascii="Palatino Linotype" w:hAnsi="Palatino Linotype"/>
          <w:sz w:val="24"/>
          <w:szCs w:val="24"/>
        </w:rPr>
        <w:t>, formula</w:t>
      </w:r>
      <w:r w:rsidRPr="007D3693">
        <w:rPr>
          <w:rFonts w:ascii="Palatino Linotype" w:hAnsi="Palatino Linotype"/>
          <w:sz w:val="24"/>
          <w:szCs w:val="24"/>
        </w:rPr>
        <w:t xml:space="preserve"> </w:t>
      </w:r>
      <w:r w:rsidRPr="007D3693">
        <w:rPr>
          <w:rFonts w:ascii="Palatino Linotype" w:hAnsi="Palatino Linotype"/>
          <w:b/>
          <w:sz w:val="24"/>
          <w:szCs w:val="24"/>
        </w:rPr>
        <w:t xml:space="preserve">VOTO </w:t>
      </w:r>
      <w:r w:rsidR="002261E8" w:rsidRPr="007D3693">
        <w:rPr>
          <w:rFonts w:ascii="Palatino Linotype" w:hAnsi="Palatino Linotype"/>
          <w:b/>
          <w:sz w:val="24"/>
          <w:szCs w:val="24"/>
        </w:rPr>
        <w:t>DISIDENTE</w:t>
      </w:r>
      <w:r w:rsidRPr="007D3693">
        <w:rPr>
          <w:rFonts w:ascii="Palatino Linotype" w:hAnsi="Palatino Linotype"/>
          <w:sz w:val="24"/>
          <w:szCs w:val="24"/>
        </w:rPr>
        <w:t xml:space="preserve">, con fundamento en </w:t>
      </w:r>
      <w:r w:rsidR="003D235F" w:rsidRPr="007D3693">
        <w:rPr>
          <w:rFonts w:ascii="Palatino Linotype" w:hAnsi="Palatino Linotype"/>
          <w:sz w:val="24"/>
          <w:szCs w:val="24"/>
        </w:rPr>
        <w:t>el artículo</w:t>
      </w:r>
      <w:r w:rsidRPr="007D3693">
        <w:rPr>
          <w:rFonts w:ascii="Palatino Linotype" w:hAnsi="Palatino Linotype"/>
          <w:sz w:val="24"/>
          <w:szCs w:val="24"/>
        </w:rPr>
        <w:t xml:space="preserve"> </w:t>
      </w:r>
      <w:r w:rsidR="003D235F" w:rsidRPr="007D3693">
        <w:rPr>
          <w:rFonts w:ascii="Palatino Linotype" w:hAnsi="Palatino Linotype"/>
          <w:sz w:val="24"/>
          <w:szCs w:val="24"/>
        </w:rPr>
        <w:t>14 fracción</w:t>
      </w:r>
      <w:r w:rsidRPr="007D3693">
        <w:rPr>
          <w:rFonts w:ascii="Palatino Linotype" w:hAnsi="Palatino Linotype"/>
          <w:sz w:val="24"/>
          <w:szCs w:val="24"/>
        </w:rPr>
        <w:t xml:space="preserve"> </w:t>
      </w:r>
      <w:r w:rsidR="003D235F" w:rsidRPr="007D3693">
        <w:rPr>
          <w:rFonts w:ascii="Palatino Linotype" w:hAnsi="Palatino Linotype"/>
          <w:sz w:val="24"/>
          <w:szCs w:val="24"/>
        </w:rPr>
        <w:t>XI</w:t>
      </w:r>
      <w:r w:rsidRPr="007D3693">
        <w:rPr>
          <w:rFonts w:ascii="Palatino Linotype" w:hAnsi="Palatino Linotype"/>
          <w:sz w:val="24"/>
          <w:szCs w:val="24"/>
        </w:rPr>
        <w:t xml:space="preserve"> del Reglamento del Instituto de Transparencia, Acceso a la Información Pública y Protección de Personales Datos del Estado de México.</w:t>
      </w:r>
    </w:p>
    <w:p w:rsidR="00BB24E2" w:rsidRPr="007D3693" w:rsidRDefault="00B72322" w:rsidP="00656A53">
      <w:pPr>
        <w:spacing w:before="240" w:after="240" w:line="360" w:lineRule="auto"/>
        <w:jc w:val="both"/>
        <w:rPr>
          <w:rFonts w:ascii="Palatino Linotype" w:hAnsi="Palatino Linotype"/>
          <w:sz w:val="24"/>
          <w:szCs w:val="24"/>
        </w:rPr>
      </w:pPr>
      <w:r w:rsidRPr="007D3693">
        <w:rPr>
          <w:rFonts w:ascii="Palatino Linotype" w:hAnsi="Palatino Linotype"/>
          <w:sz w:val="24"/>
          <w:szCs w:val="24"/>
        </w:rPr>
        <w:t>De manera previa a la</w:t>
      </w:r>
      <w:r w:rsidR="00784989" w:rsidRPr="007D3693">
        <w:rPr>
          <w:rFonts w:ascii="Palatino Linotype" w:hAnsi="Palatino Linotype"/>
          <w:sz w:val="24"/>
          <w:szCs w:val="24"/>
        </w:rPr>
        <w:t xml:space="preserve"> emisión del presente voto, se debe</w:t>
      </w:r>
      <w:r w:rsidRPr="007D3693">
        <w:rPr>
          <w:rFonts w:ascii="Palatino Linotype" w:hAnsi="Palatino Linotype"/>
          <w:sz w:val="24"/>
          <w:szCs w:val="24"/>
        </w:rPr>
        <w:t xml:space="preserve"> precisar</w:t>
      </w:r>
      <w:r w:rsidR="001B4ED5" w:rsidRPr="007D3693">
        <w:rPr>
          <w:rFonts w:ascii="Palatino Linotype" w:hAnsi="Palatino Linotype"/>
          <w:sz w:val="24"/>
          <w:szCs w:val="24"/>
        </w:rPr>
        <w:t xml:space="preserve"> la materia en que radicó el recurso de revisión que se comenta</w:t>
      </w:r>
      <w:r w:rsidR="00784989" w:rsidRPr="007D3693">
        <w:rPr>
          <w:rFonts w:ascii="Palatino Linotype" w:hAnsi="Palatino Linotype"/>
          <w:sz w:val="24"/>
          <w:szCs w:val="24"/>
        </w:rPr>
        <w:t xml:space="preserve">, </w:t>
      </w:r>
      <w:r w:rsidR="001B4ED5" w:rsidRPr="007D3693">
        <w:rPr>
          <w:rFonts w:ascii="Palatino Linotype" w:hAnsi="Palatino Linotype"/>
          <w:sz w:val="24"/>
          <w:szCs w:val="24"/>
        </w:rPr>
        <w:t>el cual consistió</w:t>
      </w:r>
      <w:r w:rsidR="00995AED" w:rsidRPr="007D3693">
        <w:rPr>
          <w:rFonts w:ascii="Palatino Linotype" w:hAnsi="Palatino Linotype"/>
          <w:sz w:val="24"/>
          <w:szCs w:val="24"/>
        </w:rPr>
        <w:t xml:space="preserve"> en </w:t>
      </w:r>
      <w:r w:rsidR="001B4ED5" w:rsidRPr="007D3693">
        <w:rPr>
          <w:rFonts w:ascii="Palatino Linotype" w:hAnsi="Palatino Linotype"/>
          <w:sz w:val="24"/>
          <w:szCs w:val="24"/>
        </w:rPr>
        <w:t xml:space="preserve">que el entonces solicitante, requirió al SUJETO OBLIGADO - Instituto de Seguridad Social del Estado de México y Municipios - copias certificadas del expediente clínico y radiológico del servidor público (finado) referido en la solicitud, manifestando que </w:t>
      </w:r>
    </w:p>
    <w:p w:rsidR="00BB24E2" w:rsidRPr="007D3693" w:rsidRDefault="00BB24E2" w:rsidP="00656A53">
      <w:pPr>
        <w:spacing w:before="240" w:after="240" w:line="360" w:lineRule="auto"/>
        <w:jc w:val="both"/>
        <w:rPr>
          <w:rFonts w:ascii="Palatino Linotype" w:hAnsi="Palatino Linotype"/>
          <w:sz w:val="24"/>
          <w:szCs w:val="24"/>
        </w:rPr>
      </w:pPr>
    </w:p>
    <w:p w:rsidR="00BB24E2" w:rsidRPr="007D3693" w:rsidRDefault="00BB24E2" w:rsidP="00656A53">
      <w:pPr>
        <w:spacing w:before="240" w:after="240" w:line="360" w:lineRule="auto"/>
        <w:jc w:val="both"/>
        <w:rPr>
          <w:rFonts w:ascii="Palatino Linotype" w:hAnsi="Palatino Linotype"/>
          <w:sz w:val="24"/>
          <w:szCs w:val="24"/>
        </w:rPr>
      </w:pPr>
    </w:p>
    <w:p w:rsidR="001B4ED5" w:rsidRPr="007D3693" w:rsidRDefault="001B4ED5" w:rsidP="00656A53">
      <w:pPr>
        <w:spacing w:before="240" w:after="240" w:line="360" w:lineRule="auto"/>
        <w:jc w:val="both"/>
        <w:rPr>
          <w:rFonts w:ascii="Palatino Linotype" w:hAnsi="Palatino Linotype"/>
          <w:sz w:val="24"/>
          <w:szCs w:val="24"/>
        </w:rPr>
      </w:pPr>
      <w:r w:rsidRPr="007D3693">
        <w:rPr>
          <w:rFonts w:ascii="Palatino Linotype" w:hAnsi="Palatino Linotype"/>
          <w:sz w:val="24"/>
          <w:szCs w:val="24"/>
        </w:rPr>
        <w:t>requería la información para el cobro de un seguro de vida individual, ya que la Aseguradora le solicitó dicho documento.</w:t>
      </w:r>
    </w:p>
    <w:p w:rsidR="001B4ED5" w:rsidRPr="007D3693" w:rsidRDefault="001B4ED5" w:rsidP="007F7D32">
      <w:pPr>
        <w:spacing w:line="360" w:lineRule="auto"/>
        <w:ind w:right="49"/>
        <w:jc w:val="both"/>
        <w:rPr>
          <w:rFonts w:ascii="Palatino Linotype" w:hAnsi="Palatino Linotype"/>
          <w:sz w:val="24"/>
          <w:szCs w:val="24"/>
        </w:rPr>
      </w:pPr>
      <w:r w:rsidRPr="007D3693">
        <w:rPr>
          <w:rFonts w:ascii="Palatino Linotype" w:hAnsi="Palatino Linotype"/>
          <w:sz w:val="24"/>
          <w:szCs w:val="24"/>
        </w:rPr>
        <w:t xml:space="preserve">Adjuntando a su solicitud copia simple digitalizada de identificación provisional para acceder a prestaciones, acta de defunción, credencial para votar y carta testamentaria del finado, credencial para votar y acta de nacimiento del ahora </w:t>
      </w:r>
      <w:r w:rsidRPr="007D3693">
        <w:rPr>
          <w:rFonts w:ascii="Palatino Linotype" w:hAnsi="Palatino Linotype"/>
          <w:b/>
          <w:sz w:val="24"/>
          <w:szCs w:val="24"/>
        </w:rPr>
        <w:t>RECURRENTE</w:t>
      </w:r>
      <w:r w:rsidRPr="007D3693">
        <w:rPr>
          <w:rFonts w:ascii="Palatino Linotype" w:hAnsi="Palatino Linotype"/>
          <w:sz w:val="24"/>
          <w:szCs w:val="24"/>
        </w:rPr>
        <w:t xml:space="preserve"> y póliza de seguro de vida individual.</w:t>
      </w:r>
    </w:p>
    <w:p w:rsidR="001B4ED5" w:rsidRPr="007D3693" w:rsidRDefault="001B4ED5" w:rsidP="001B0B28">
      <w:pPr>
        <w:pStyle w:val="Prrafodelista"/>
        <w:widowControl w:val="0"/>
        <w:tabs>
          <w:tab w:val="left" w:pos="1701"/>
        </w:tabs>
        <w:autoSpaceDE w:val="0"/>
        <w:autoSpaceDN w:val="0"/>
        <w:adjustRightInd w:val="0"/>
        <w:spacing w:line="276" w:lineRule="auto"/>
        <w:ind w:left="0"/>
        <w:jc w:val="both"/>
        <w:rPr>
          <w:rFonts w:ascii="Palatino Linotype" w:hAnsi="Palatino Linotype" w:cs="Arial"/>
          <w:sz w:val="24"/>
          <w:szCs w:val="24"/>
        </w:rPr>
      </w:pPr>
      <w:r w:rsidRPr="007D3693">
        <w:rPr>
          <w:rFonts w:ascii="Palatino Linotype" w:hAnsi="Palatino Linotype" w:cs="Arial"/>
          <w:sz w:val="24"/>
          <w:szCs w:val="24"/>
        </w:rPr>
        <w:t xml:space="preserve">En ese tenor, </w:t>
      </w:r>
      <w:r w:rsidRPr="007D3693">
        <w:rPr>
          <w:rFonts w:ascii="Palatino Linotype" w:hAnsi="Palatino Linotype" w:cs="Arial"/>
          <w:b/>
          <w:sz w:val="24"/>
          <w:szCs w:val="24"/>
        </w:rPr>
        <w:t>EL SUJETO OBLIGADO</w:t>
      </w:r>
      <w:r w:rsidRPr="007D3693">
        <w:rPr>
          <w:rFonts w:ascii="Palatino Linotype" w:hAnsi="Palatino Linotype" w:cs="Arial"/>
          <w:sz w:val="24"/>
          <w:szCs w:val="24"/>
        </w:rPr>
        <w:t xml:space="preserve"> pidió al particular aclarara su solicitud de acceso a datos en los términos</w:t>
      </w:r>
      <w:r w:rsidR="007F7D32" w:rsidRPr="007D3693">
        <w:rPr>
          <w:rFonts w:ascii="Palatino Linotype" w:hAnsi="Palatino Linotype" w:cs="Arial"/>
          <w:sz w:val="24"/>
          <w:szCs w:val="24"/>
        </w:rPr>
        <w:t xml:space="preserve"> ”…</w:t>
      </w:r>
      <w:r w:rsidR="007F7D32" w:rsidRPr="007D3693">
        <w:rPr>
          <w:rFonts w:ascii="Palatino Linotype" w:hAnsi="Palatino Linotype"/>
          <w:i/>
          <w:sz w:val="24"/>
          <w:szCs w:val="24"/>
        </w:rPr>
        <w:t xml:space="preserve"> </w:t>
      </w:r>
      <w:r w:rsidR="007F7D32" w:rsidRPr="007D3693">
        <w:rPr>
          <w:rFonts w:ascii="Palatino Linotype" w:hAnsi="Palatino Linotype" w:cs="Arial"/>
          <w:i/>
          <w:sz w:val="24"/>
          <w:szCs w:val="24"/>
        </w:rPr>
        <w:t xml:space="preserve">se requiere a la particular presente ante la Unidad de Transparencia el documento a través del cual acredite la representación del </w:t>
      </w:r>
      <w:r w:rsidR="007D3693" w:rsidRPr="007D3693">
        <w:rPr>
          <w:rFonts w:ascii="Palatino Linotype" w:hAnsi="Palatino Linotype" w:cs="Arial"/>
          <w:i/>
          <w:sz w:val="24"/>
          <w:szCs w:val="24"/>
        </w:rPr>
        <w:t>XXXXXXXXXXXXXXXXXXXXXXXXXXXXXXXXXXXXXXX</w:t>
      </w:r>
      <w:r w:rsidR="007F7D32" w:rsidRPr="007D3693">
        <w:rPr>
          <w:rFonts w:ascii="Palatino Linotype" w:hAnsi="Palatino Linotype" w:cs="Arial"/>
          <w:i/>
          <w:sz w:val="24"/>
          <w:szCs w:val="24"/>
        </w:rPr>
        <w:t xml:space="preserve"> mediante un poder notarial especial, o carta poder firmada ante dos testigos especificando que la representación se otorga para el trámite de acceso a datos personales ante el Instituto de Seguridad Social del Estado de México y Municipios; o bien, se realice la declaración en comparecencia personal del titular de los datos personales ante el Módulo de Acceso de este organismo auxiliar;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w:t>
      </w:r>
      <w:r w:rsidR="007F7D32" w:rsidRPr="007D3693">
        <w:rPr>
          <w:rFonts w:ascii="Palatino Linotype" w:hAnsi="Palatino Linotype" w:cs="Arial"/>
          <w:sz w:val="24"/>
          <w:szCs w:val="24"/>
        </w:rPr>
        <w:t>;</w:t>
      </w:r>
      <w:r w:rsidRPr="007D3693">
        <w:rPr>
          <w:rFonts w:ascii="Palatino Linotype" w:hAnsi="Palatino Linotype" w:cs="Arial"/>
          <w:sz w:val="24"/>
          <w:szCs w:val="24"/>
        </w:rPr>
        <w:t xml:space="preserve"> por lo que, al no haber atendido el requerimiento el hoy </w:t>
      </w:r>
      <w:r w:rsidRPr="007D3693">
        <w:rPr>
          <w:rFonts w:ascii="Palatino Linotype" w:hAnsi="Palatino Linotype" w:cs="Arial"/>
          <w:b/>
          <w:sz w:val="24"/>
          <w:szCs w:val="24"/>
        </w:rPr>
        <w:t xml:space="preserve">RECURRENTE, EL SUJETO OBLIGADO </w:t>
      </w:r>
      <w:r w:rsidRPr="007D3693">
        <w:rPr>
          <w:rFonts w:ascii="Palatino Linotype" w:hAnsi="Palatino Linotype" w:cs="Arial"/>
          <w:sz w:val="24"/>
          <w:szCs w:val="24"/>
        </w:rPr>
        <w:t>la</w:t>
      </w:r>
      <w:r w:rsidRPr="007D3693">
        <w:rPr>
          <w:rFonts w:ascii="Palatino Linotype" w:hAnsi="Palatino Linotype" w:cs="Arial"/>
          <w:b/>
          <w:sz w:val="24"/>
          <w:szCs w:val="24"/>
        </w:rPr>
        <w:t xml:space="preserve"> </w:t>
      </w:r>
      <w:r w:rsidRPr="007D3693">
        <w:rPr>
          <w:rFonts w:ascii="Palatino Linotype" w:hAnsi="Palatino Linotype" w:cs="Arial"/>
          <w:sz w:val="24"/>
          <w:szCs w:val="24"/>
        </w:rPr>
        <w:t xml:space="preserve">tuvo por no presentada. </w:t>
      </w:r>
    </w:p>
    <w:p w:rsidR="001B0B28" w:rsidRPr="007D3693" w:rsidRDefault="001B0B28" w:rsidP="001B0B28">
      <w:pPr>
        <w:pStyle w:val="Prrafodelista"/>
        <w:widowControl w:val="0"/>
        <w:tabs>
          <w:tab w:val="left" w:pos="1701"/>
        </w:tabs>
        <w:autoSpaceDE w:val="0"/>
        <w:autoSpaceDN w:val="0"/>
        <w:adjustRightInd w:val="0"/>
        <w:spacing w:line="240" w:lineRule="auto"/>
        <w:ind w:left="0"/>
        <w:jc w:val="both"/>
        <w:rPr>
          <w:rFonts w:ascii="Palatino Linotype" w:hAnsi="Palatino Linotype" w:cs="Arial"/>
          <w:sz w:val="24"/>
          <w:szCs w:val="24"/>
        </w:rPr>
      </w:pPr>
    </w:p>
    <w:p w:rsidR="00952E1A" w:rsidRPr="007D3693" w:rsidRDefault="00952E1A" w:rsidP="00656A53">
      <w:pPr>
        <w:spacing w:before="240" w:after="240" w:line="360" w:lineRule="auto"/>
        <w:jc w:val="both"/>
        <w:rPr>
          <w:rFonts w:ascii="Palatino Linotype" w:hAnsi="Palatino Linotype" w:cs="Arial"/>
          <w:sz w:val="24"/>
          <w:szCs w:val="24"/>
        </w:rPr>
      </w:pPr>
      <w:r w:rsidRPr="007D3693">
        <w:rPr>
          <w:rFonts w:ascii="Palatino Linotype" w:hAnsi="Palatino Linotype" w:cs="Arial"/>
          <w:sz w:val="24"/>
          <w:szCs w:val="24"/>
        </w:rPr>
        <w:t>Debiendo precisar que dicho requerimiento resultó improcedente motivo por el cual la ponencia que estuvo a cargo del desarrollo del proyecto, determinó admitir el recurso de revisión pues la Ley de Protección de Datos refiere en su artículo 121 las formas para acreditar la personalidad en representación.</w:t>
      </w:r>
    </w:p>
    <w:p w:rsidR="00BB24E2" w:rsidRPr="007D3693" w:rsidRDefault="00BB24E2" w:rsidP="00656A53">
      <w:pPr>
        <w:spacing w:before="240" w:after="240" w:line="360" w:lineRule="auto"/>
        <w:jc w:val="both"/>
        <w:rPr>
          <w:rFonts w:ascii="Palatino Linotype" w:hAnsi="Palatino Linotype" w:cs="Arial"/>
          <w:sz w:val="24"/>
          <w:szCs w:val="24"/>
        </w:rPr>
      </w:pPr>
    </w:p>
    <w:p w:rsidR="001B0B28" w:rsidRPr="007D3693" w:rsidRDefault="001B0B28" w:rsidP="00656A53">
      <w:pPr>
        <w:spacing w:before="240" w:after="240" w:line="360" w:lineRule="auto"/>
        <w:jc w:val="both"/>
        <w:rPr>
          <w:rFonts w:ascii="Palatino Linotype" w:hAnsi="Palatino Linotype" w:cs="Arial"/>
          <w:sz w:val="24"/>
          <w:szCs w:val="24"/>
        </w:rPr>
      </w:pPr>
    </w:p>
    <w:p w:rsidR="001B0B28" w:rsidRPr="007D3693" w:rsidRDefault="001B0B28" w:rsidP="001B0B28">
      <w:pPr>
        <w:widowControl w:val="0"/>
        <w:autoSpaceDE w:val="0"/>
        <w:autoSpaceDN w:val="0"/>
        <w:adjustRightInd w:val="0"/>
        <w:spacing w:line="360" w:lineRule="auto"/>
        <w:jc w:val="both"/>
        <w:rPr>
          <w:rFonts w:ascii="Palatino Linotype" w:hAnsi="Palatino Linotype" w:cs="Arial"/>
          <w:sz w:val="24"/>
          <w:szCs w:val="24"/>
        </w:rPr>
      </w:pPr>
      <w:r w:rsidRPr="007D3693">
        <w:rPr>
          <w:rFonts w:ascii="Palatino Linotype" w:hAnsi="Palatino Linotype" w:cs="Arial"/>
          <w:sz w:val="24"/>
          <w:szCs w:val="24"/>
        </w:rPr>
        <w:t xml:space="preserve">En ese tenor, el particular inconforme con la determinación del </w:t>
      </w:r>
      <w:r w:rsidRPr="007D3693">
        <w:rPr>
          <w:rFonts w:ascii="Palatino Linotype" w:hAnsi="Palatino Linotype" w:cs="Arial"/>
          <w:b/>
          <w:sz w:val="24"/>
          <w:szCs w:val="24"/>
        </w:rPr>
        <w:t xml:space="preserve">SUJETO OBLIGADO </w:t>
      </w:r>
      <w:r w:rsidRPr="007D3693">
        <w:rPr>
          <w:rFonts w:ascii="Palatino Linotype" w:hAnsi="Palatino Linotype" w:cs="Arial"/>
          <w:sz w:val="24"/>
          <w:szCs w:val="24"/>
        </w:rPr>
        <w:t xml:space="preserve">de no atender su solicitud, interpuso el recurso de revisión de mérito en el que señaló como acto impugnado y razones o motivos de inconformidad lo la negativa por parte del SUEJTO OBLIGADO en dar atención a su solicitud de ejercicio de derechos ARCO; por lo que, una vez admitido y declarado abierto el periodo de manifestaciones al recurso </w:t>
      </w:r>
      <w:r w:rsidRPr="007D3693">
        <w:rPr>
          <w:rFonts w:ascii="Palatino Linotype" w:hAnsi="Palatino Linotype" w:cs="Arial"/>
          <w:b/>
          <w:sz w:val="24"/>
          <w:szCs w:val="24"/>
        </w:rPr>
        <w:t>las partes manifestaron su voluntad de conciliar;</w:t>
      </w:r>
      <w:r w:rsidRPr="007D3693">
        <w:rPr>
          <w:rFonts w:ascii="Palatino Linotype" w:hAnsi="Palatino Linotype" w:cs="Arial"/>
          <w:sz w:val="24"/>
          <w:szCs w:val="24"/>
        </w:rPr>
        <w:t xml:space="preserve"> atento a ello, la Comisionada Ponente con fundamento en el artículo 132 de la Ley de Protección de Datos Personales en Posesión de los Sujetos Obligados del Estado de México y Municipios, señaló las 11:00 horas del día ocho de febrero de dos mil diecinueve para la celebración de la Audiencia de Conciliación misma que tuvo verificativo en las instalaciones de éste Instituto y de la cual se levantó el Acta Administrativa correspondiente; que del desahogo de ésta se concluyó la conciliación entre las partes como se desprende a continuación:-------------------------------------------------------------------------------------------------------------------------------------------------------------------------------------------------------------------------------------------------------------------------------------------------------------------------------------------------------------- -----------------------------------------------------------------------------------------------------------------------------------------------------------------------------------------------------------------------------------------------------------------------------------------------------------------------------------------------------------------------------------------------------------------------------------------------------------------------------------------------------------------------------------------------------------------------------------------------------------------------------------------------------------------------------------------</w:t>
      </w:r>
      <w:r w:rsidRPr="007D3693">
        <w:rPr>
          <w:rFonts w:ascii="Palatino Linotype" w:hAnsi="Palatino Linotype" w:cs="Arial"/>
          <w:sz w:val="24"/>
          <w:szCs w:val="24"/>
        </w:rPr>
        <w:lastRenderedPageBreak/>
        <w:t>----------------------------------------------------------------------------------------------------------------------------------------</w:t>
      </w:r>
    </w:p>
    <w:p w:rsidR="00E22B32" w:rsidRPr="007D3693" w:rsidRDefault="00E22B32" w:rsidP="00656A53">
      <w:pPr>
        <w:spacing w:before="240" w:after="240" w:line="360" w:lineRule="auto"/>
        <w:jc w:val="both"/>
        <w:rPr>
          <w:rFonts w:ascii="Palatino Linotype" w:hAnsi="Palatino Linotype"/>
          <w:sz w:val="24"/>
          <w:szCs w:val="24"/>
        </w:rPr>
      </w:pPr>
    </w:p>
    <w:p w:rsidR="00E22B32" w:rsidRPr="007D3693" w:rsidRDefault="009E2328" w:rsidP="00656A53">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612130" cy="5867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612130" cy="5867400"/>
                    </a:xfrm>
                    <a:prstGeom prst="rect">
                      <a:avLst/>
                    </a:prstGeom>
                  </pic:spPr>
                </pic:pic>
              </a:graphicData>
            </a:graphic>
          </wp:inline>
        </w:drawing>
      </w:r>
    </w:p>
    <w:p w:rsidR="00E22B32" w:rsidRPr="007D3693" w:rsidRDefault="00E22B32" w:rsidP="00656A53">
      <w:pPr>
        <w:spacing w:before="240" w:after="240" w:line="360" w:lineRule="auto"/>
        <w:jc w:val="both"/>
        <w:rPr>
          <w:rFonts w:ascii="Palatino Linotype" w:hAnsi="Palatino Linotype"/>
          <w:sz w:val="24"/>
          <w:szCs w:val="24"/>
        </w:rPr>
      </w:pPr>
    </w:p>
    <w:p w:rsidR="007F086B" w:rsidRPr="007D3693" w:rsidRDefault="007F086B" w:rsidP="00656A53">
      <w:pPr>
        <w:spacing w:before="240" w:after="240" w:line="360" w:lineRule="auto"/>
        <w:jc w:val="both"/>
        <w:rPr>
          <w:rFonts w:ascii="Palatino Linotype" w:hAnsi="Palatino Linotype"/>
          <w:sz w:val="24"/>
          <w:szCs w:val="24"/>
        </w:rPr>
      </w:pPr>
    </w:p>
    <w:p w:rsidR="007F086B" w:rsidRPr="007D3693" w:rsidRDefault="009E2328" w:rsidP="00656A53">
      <w:pPr>
        <w:spacing w:before="240" w:after="240" w:line="360" w:lineRule="auto"/>
        <w:jc w:val="both"/>
        <w:rPr>
          <w:rFonts w:ascii="Palatino Linotype" w:hAnsi="Palatino Linotype"/>
          <w:sz w:val="24"/>
          <w:szCs w:val="24"/>
        </w:rPr>
      </w:pPr>
      <w:bookmarkStart w:id="0" w:name="_GoBack"/>
      <w:r>
        <w:rPr>
          <w:rFonts w:ascii="Palatino Linotype" w:hAnsi="Palatino Linotype"/>
          <w:noProof/>
          <w:sz w:val="24"/>
          <w:szCs w:val="24"/>
          <w:lang w:eastAsia="es-MX"/>
        </w:rPr>
        <w:drawing>
          <wp:inline distT="0" distB="0" distL="0" distR="0">
            <wp:extent cx="5612130" cy="62357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612130" cy="6235700"/>
                    </a:xfrm>
                    <a:prstGeom prst="rect">
                      <a:avLst/>
                    </a:prstGeom>
                  </pic:spPr>
                </pic:pic>
              </a:graphicData>
            </a:graphic>
          </wp:inline>
        </w:drawing>
      </w:r>
      <w:bookmarkEnd w:id="0"/>
    </w:p>
    <w:p w:rsidR="007F086B" w:rsidRPr="007D3693" w:rsidRDefault="007F086B" w:rsidP="00656A53">
      <w:pPr>
        <w:spacing w:before="240" w:after="240" w:line="360" w:lineRule="auto"/>
        <w:jc w:val="both"/>
        <w:rPr>
          <w:rFonts w:ascii="Palatino Linotype" w:hAnsi="Palatino Linotype"/>
          <w:sz w:val="24"/>
          <w:szCs w:val="24"/>
        </w:rPr>
      </w:pPr>
    </w:p>
    <w:p w:rsidR="00C74429" w:rsidRPr="007D3693" w:rsidRDefault="00C74429" w:rsidP="00C74429">
      <w:pPr>
        <w:spacing w:before="240" w:after="240" w:line="360" w:lineRule="auto"/>
        <w:jc w:val="both"/>
        <w:rPr>
          <w:rFonts w:ascii="Palatino Linotype" w:hAnsi="Palatino Linotype"/>
          <w:sz w:val="24"/>
          <w:szCs w:val="24"/>
        </w:rPr>
      </w:pPr>
      <w:r w:rsidRPr="007D3693">
        <w:rPr>
          <w:rFonts w:ascii="Palatino Linotype" w:hAnsi="Palatino Linotype"/>
          <w:sz w:val="24"/>
          <w:szCs w:val="24"/>
        </w:rPr>
        <w:lastRenderedPageBreak/>
        <w:t xml:space="preserve">Así, una vez dirimida la controversia entre las partes en vía de un acuerdo conciliatorio, la ponencia que propuso el proyecto, tuvo como parte medular de la determinación que </w:t>
      </w:r>
      <w:r w:rsidRPr="007D3693">
        <w:rPr>
          <w:rFonts w:ascii="Palatino Linotype" w:hAnsi="Palatino Linotype" w:cs="Arial"/>
          <w:sz w:val="24"/>
          <w:szCs w:val="24"/>
        </w:rPr>
        <w:t xml:space="preserve">, las partes llegaron al Acuerdo que establece el artículo 132, fracción V de la Ley de Protección de Datos Personales en Posesión de los Sujetos Obligados del Estado de México y Municipios, teniendo que durante la celebración de la Audiencia de Conciliación </w:t>
      </w:r>
      <w:r w:rsidRPr="007D3693">
        <w:rPr>
          <w:rFonts w:ascii="Palatino Linotype" w:hAnsi="Palatino Linotype" w:cs="Arial"/>
          <w:b/>
          <w:sz w:val="24"/>
          <w:szCs w:val="24"/>
        </w:rPr>
        <w:t xml:space="preserve">EL RECURRENTE </w:t>
      </w:r>
      <w:r w:rsidRPr="007D3693">
        <w:rPr>
          <w:rFonts w:ascii="Palatino Linotype" w:hAnsi="Palatino Linotype" w:cs="Arial"/>
          <w:sz w:val="24"/>
          <w:szCs w:val="24"/>
        </w:rPr>
        <w:t xml:space="preserve">aceptaba y recibía en copia certificada del </w:t>
      </w:r>
      <w:r w:rsidRPr="007D3693">
        <w:rPr>
          <w:rFonts w:ascii="Palatino Linotype" w:hAnsi="Palatino Linotype" w:cs="Arial"/>
          <w:b/>
          <w:sz w:val="24"/>
          <w:szCs w:val="24"/>
        </w:rPr>
        <w:t xml:space="preserve">SUJETO OBLIGADO RESPONSABLE </w:t>
      </w:r>
      <w:r w:rsidRPr="007D3693">
        <w:rPr>
          <w:rFonts w:ascii="Palatino Linotype" w:hAnsi="Palatino Linotype" w:cs="Arial"/>
          <w:sz w:val="24"/>
          <w:szCs w:val="24"/>
        </w:rPr>
        <w:t>el expediente clínico y radiológico del servidor público referido en la solicitud, mismo que se asentó en el Acta que se levantó con motivo de la Audiencia de Conciliación</w:t>
      </w:r>
    </w:p>
    <w:p w:rsidR="00C74429" w:rsidRPr="007D3693" w:rsidRDefault="007966CA" w:rsidP="00656A53">
      <w:pPr>
        <w:spacing w:before="240" w:after="240" w:line="360" w:lineRule="auto"/>
        <w:jc w:val="both"/>
        <w:rPr>
          <w:rFonts w:ascii="Palatino Linotype" w:eastAsia="Arial Unicode MS" w:hAnsi="Palatino Linotype" w:cs="Arial"/>
          <w:sz w:val="24"/>
          <w:szCs w:val="24"/>
        </w:rPr>
      </w:pPr>
      <w:r w:rsidRPr="007D3693">
        <w:rPr>
          <w:rFonts w:ascii="Palatino Linotype" w:hAnsi="Palatino Linotype" w:cs="Arial"/>
          <w:sz w:val="24"/>
          <w:szCs w:val="24"/>
        </w:rPr>
        <w:t xml:space="preserve">En conclusión, la ponencia determino </w:t>
      </w:r>
      <w:r w:rsidRPr="007D3693">
        <w:rPr>
          <w:rFonts w:ascii="Palatino Linotype" w:eastAsia="Arial Unicode MS" w:hAnsi="Palatino Linotype" w:cs="Arial"/>
          <w:sz w:val="24"/>
          <w:szCs w:val="24"/>
        </w:rPr>
        <w:t>que en el presente caso se actualiza la causal de sobreseimiento prevista en la fracción V del artículo 139, en correlación con el 132, fracciones V y VI de la Ley de Protección de Datos Personales en Posesión de los Sujetos Obligados del Estado de México y Municipios.</w:t>
      </w:r>
    </w:p>
    <w:p w:rsidR="007F086B" w:rsidRPr="007D3693" w:rsidRDefault="00AA6D17" w:rsidP="00656A53">
      <w:pPr>
        <w:spacing w:before="240" w:after="240" w:line="360" w:lineRule="auto"/>
        <w:jc w:val="both"/>
        <w:rPr>
          <w:rFonts w:ascii="Palatino Linotype" w:hAnsi="Palatino Linotype"/>
          <w:sz w:val="24"/>
          <w:szCs w:val="24"/>
        </w:rPr>
      </w:pPr>
      <w:r w:rsidRPr="007D3693">
        <w:rPr>
          <w:rFonts w:ascii="Palatino Linotype" w:hAnsi="Palatino Linotype"/>
          <w:sz w:val="24"/>
          <w:szCs w:val="24"/>
          <w:lang w:val="es-ES_tradnl"/>
        </w:rPr>
        <w:t xml:space="preserve">Lo anterior, debido a que como se afirmó en líneas que anteceden, las partes mediante la celebración de la Audiencia de Conciliación llegaron a un Acuerdo a través del cual </w:t>
      </w:r>
      <w:r w:rsidRPr="007D3693">
        <w:rPr>
          <w:rFonts w:ascii="Palatino Linotype" w:hAnsi="Palatino Linotype"/>
          <w:b/>
          <w:sz w:val="24"/>
          <w:szCs w:val="24"/>
          <w:lang w:val="es-ES_tradnl"/>
        </w:rPr>
        <w:t xml:space="preserve">EL RECURRENTE </w:t>
      </w:r>
      <w:r w:rsidRPr="007D3693">
        <w:rPr>
          <w:rFonts w:ascii="Palatino Linotype" w:hAnsi="Palatino Linotype"/>
          <w:sz w:val="24"/>
          <w:szCs w:val="24"/>
          <w:lang w:val="es-ES_tradnl"/>
        </w:rPr>
        <w:t>aceptó que se le entregara la información.</w:t>
      </w:r>
    </w:p>
    <w:p w:rsidR="0088782E" w:rsidRPr="007D3693" w:rsidRDefault="0088782E" w:rsidP="00656A53">
      <w:pPr>
        <w:spacing w:before="240" w:after="240" w:line="360" w:lineRule="auto"/>
        <w:jc w:val="both"/>
        <w:rPr>
          <w:rFonts w:ascii="Palatino Linotype" w:hAnsi="Palatino Linotype"/>
          <w:sz w:val="24"/>
          <w:szCs w:val="24"/>
        </w:rPr>
      </w:pPr>
    </w:p>
    <w:p w:rsidR="00BB24E2" w:rsidRPr="007D3693" w:rsidRDefault="00BB24E2" w:rsidP="00BB24E2">
      <w:pPr>
        <w:spacing w:before="240" w:line="360" w:lineRule="auto"/>
        <w:contextualSpacing/>
        <w:jc w:val="both"/>
        <w:rPr>
          <w:rFonts w:ascii="Palatino Linotype" w:hAnsi="Palatino Linotype"/>
          <w:sz w:val="24"/>
          <w:szCs w:val="24"/>
        </w:rPr>
      </w:pPr>
      <w:r w:rsidRPr="007D3693">
        <w:rPr>
          <w:rFonts w:ascii="Palatino Linotype" w:hAnsi="Palatino Linotype"/>
          <w:sz w:val="24"/>
          <w:szCs w:val="24"/>
        </w:rPr>
        <w:t>Agotado lo anterior,  considero pertinente hacer mención que en el recurso de revisión materia del presente voto se pretende acceder a un expediente clínico, motivo por el cual, estimo pertinente referir su naturaleza jurídica.</w:t>
      </w:r>
    </w:p>
    <w:p w:rsidR="00BB24E2" w:rsidRPr="007D3693" w:rsidRDefault="00BB24E2" w:rsidP="00BB24E2">
      <w:pPr>
        <w:pStyle w:val="Prrafodelista"/>
        <w:numPr>
          <w:ilvl w:val="0"/>
          <w:numId w:val="22"/>
        </w:numPr>
        <w:spacing w:before="240" w:after="0" w:line="360" w:lineRule="auto"/>
        <w:jc w:val="both"/>
        <w:rPr>
          <w:rFonts w:ascii="Palatino Linotype" w:hAnsi="Palatino Linotype"/>
          <w:sz w:val="24"/>
          <w:szCs w:val="24"/>
        </w:rPr>
      </w:pPr>
      <w:r w:rsidRPr="007D3693">
        <w:rPr>
          <w:rFonts w:ascii="Palatino Linotype" w:hAnsi="Palatino Linotype"/>
          <w:b/>
          <w:sz w:val="24"/>
          <w:szCs w:val="24"/>
        </w:rPr>
        <w:t>Expediente clínico:</w:t>
      </w:r>
      <w:r w:rsidRPr="007D3693">
        <w:rPr>
          <w:rFonts w:ascii="Palatino Linotype" w:hAnsi="Palatino Linotype"/>
          <w:sz w:val="24"/>
          <w:szCs w:val="24"/>
        </w:rPr>
        <w:t xml:space="preserve"> es el </w:t>
      </w:r>
      <w:r w:rsidRPr="007D3693">
        <w:rPr>
          <w:rFonts w:ascii="Palatino Linotype" w:hAnsi="Palatino Linotype" w:cs="Arial"/>
          <w:sz w:val="24"/>
          <w:szCs w:val="24"/>
        </w:rPr>
        <w:t xml:space="preserve">conjunto único de información y Datos Personales de un paciente, que se integra dentro de todo tipo de establecimiento para la </w:t>
      </w:r>
      <w:r w:rsidRPr="007D3693">
        <w:rPr>
          <w:rFonts w:ascii="Palatino Linotype" w:hAnsi="Palatino Linotype" w:cs="Arial"/>
          <w:sz w:val="24"/>
          <w:szCs w:val="24"/>
        </w:rPr>
        <w:lastRenderedPageBreak/>
        <w:t>atención médica, ya sea público, social o privado, el cual, consta de documentos escritos, gráficos, imagenológicos, electrónicos, y de cualquier otra índole, en los cuales, el personal de salud deberá hacer los registros, anotaciones, en su caso, constancias y certificaciones correspondientes a su intervención en la atención médica del paciente, con apego a las disposiciones jurídicas aplicables.</w:t>
      </w:r>
      <w:hyperlink r:id="rId10" w:history="1">
        <w:r w:rsidRPr="007D3693">
          <w:rPr>
            <w:rStyle w:val="Hipervnculo"/>
            <w:rFonts w:ascii="Palatino Linotype" w:hAnsi="Palatino Linotype" w:cs="Arial"/>
            <w:color w:val="auto"/>
            <w:sz w:val="24"/>
            <w:szCs w:val="24"/>
          </w:rPr>
          <w:t> (NOM-004-SSA3-2012)D.O.F.</w:t>
        </w:r>
      </w:hyperlink>
      <w:r w:rsidRPr="007D3693">
        <w:rPr>
          <w:rFonts w:ascii="Palatino Linotype" w:hAnsi="Palatino Linotype" w:cs="Arial"/>
          <w:sz w:val="24"/>
          <w:szCs w:val="24"/>
        </w:rPr>
        <w:t> </w:t>
      </w:r>
    </w:p>
    <w:p w:rsidR="00BB24E2" w:rsidRPr="007D3693" w:rsidRDefault="00BB24E2" w:rsidP="00BB24E2">
      <w:pPr>
        <w:spacing w:before="240" w:after="240" w:line="360" w:lineRule="auto"/>
        <w:jc w:val="both"/>
        <w:rPr>
          <w:rFonts w:ascii="Palatino Linotype" w:hAnsi="Palatino Linotype" w:cs="Arial"/>
          <w:sz w:val="24"/>
          <w:szCs w:val="24"/>
        </w:rPr>
      </w:pPr>
      <w:r w:rsidRPr="007D3693">
        <w:rPr>
          <w:rFonts w:ascii="Palatino Linotype" w:hAnsi="Palatino Linotype" w:cs="Arial"/>
          <w:sz w:val="24"/>
          <w:szCs w:val="24"/>
        </w:rPr>
        <w:t>Al respecto es de suma importancia mencionar que los prestadores de servicios de atención médica de los establecimientos de carácter público, social y privado, están obligados a integrar y conservar el </w:t>
      </w:r>
      <w:r w:rsidRPr="007D3693">
        <w:rPr>
          <w:rStyle w:val="nfasis"/>
          <w:rFonts w:ascii="Palatino Linotype" w:hAnsi="Palatino Linotype" w:cs="Arial"/>
          <w:sz w:val="24"/>
          <w:szCs w:val="24"/>
        </w:rPr>
        <w:t>Expediente Clínico</w:t>
      </w:r>
      <w:r w:rsidRPr="007D3693">
        <w:rPr>
          <w:rFonts w:ascii="Palatino Linotype" w:hAnsi="Palatino Linotype" w:cs="Arial"/>
          <w:sz w:val="24"/>
          <w:szCs w:val="24"/>
        </w:rPr>
        <w:t xml:space="preserve">. Los establecimientos serán solidariamente responsables respecto del cumplimiento de esta obligación, por parte del personal que preste sus servicios en los mismos, independientemente de la forma en que fuere contratado dicho personal, e donde todo </w:t>
      </w:r>
      <w:r w:rsidRPr="007D3693">
        <w:rPr>
          <w:rStyle w:val="nfasis"/>
          <w:rFonts w:ascii="Palatino Linotype" w:hAnsi="Palatino Linotype" w:cs="Arial"/>
          <w:sz w:val="24"/>
          <w:szCs w:val="24"/>
        </w:rPr>
        <w:t>expediente Clínico</w:t>
      </w:r>
      <w:r w:rsidRPr="007D3693">
        <w:rPr>
          <w:rFonts w:ascii="Palatino Linotype" w:hAnsi="Palatino Linotype" w:cs="Arial"/>
          <w:sz w:val="24"/>
          <w:szCs w:val="24"/>
        </w:rPr>
        <w:t>, deberá tener los siguientes datos generales: Tipo, nombre y domicilio del establecimiento y en su caso, nombre de la Institución a la que pertenece; en su caso, la razón y denominación social del propietario o concesionario y, nombre, sexo, edad y domicilio del paciente, es de agregar que el expediente clínico se integra por toda la información generada por la atención médica brindada al paciente, el expediente clínico se encuentra formado por los siguientes apartados:</w:t>
      </w:r>
    </w:p>
    <w:p w:rsidR="00BB24E2" w:rsidRPr="007D3693" w:rsidRDefault="00BB24E2" w:rsidP="00BB24E2">
      <w:pPr>
        <w:pStyle w:val="Prrafodelista"/>
        <w:numPr>
          <w:ilvl w:val="0"/>
          <w:numId w:val="22"/>
        </w:numPr>
        <w:rPr>
          <w:rFonts w:ascii="Palatino Linotype" w:hAnsi="Palatino Linotype"/>
          <w:sz w:val="24"/>
          <w:szCs w:val="24"/>
        </w:rPr>
      </w:pPr>
      <w:r w:rsidRPr="007D3693">
        <w:rPr>
          <w:rFonts w:ascii="Palatino Linotype" w:hAnsi="Palatino Linotype"/>
          <w:sz w:val="24"/>
          <w:szCs w:val="24"/>
        </w:rPr>
        <w:t>Historia Clínica y Notas Medicas</w:t>
      </w:r>
    </w:p>
    <w:p w:rsidR="00BB24E2" w:rsidRPr="007D3693" w:rsidRDefault="00BB24E2" w:rsidP="00BB24E2">
      <w:pPr>
        <w:pStyle w:val="Prrafodelista"/>
        <w:numPr>
          <w:ilvl w:val="0"/>
          <w:numId w:val="22"/>
        </w:numPr>
        <w:rPr>
          <w:rFonts w:ascii="Palatino Linotype" w:hAnsi="Palatino Linotype"/>
          <w:sz w:val="24"/>
          <w:szCs w:val="24"/>
        </w:rPr>
      </w:pPr>
      <w:r w:rsidRPr="007D3693">
        <w:rPr>
          <w:rFonts w:ascii="Palatino Linotype" w:hAnsi="Palatino Linotype"/>
          <w:sz w:val="24"/>
          <w:szCs w:val="24"/>
        </w:rPr>
        <w:t>Resultados de laboratorio realizados en el Instituto.</w:t>
      </w:r>
    </w:p>
    <w:p w:rsidR="00BB24E2" w:rsidRPr="007D3693" w:rsidRDefault="00BB24E2" w:rsidP="00BB24E2">
      <w:pPr>
        <w:pStyle w:val="Prrafodelista"/>
        <w:numPr>
          <w:ilvl w:val="0"/>
          <w:numId w:val="22"/>
        </w:numPr>
        <w:rPr>
          <w:rFonts w:ascii="Palatino Linotype" w:hAnsi="Palatino Linotype"/>
          <w:sz w:val="24"/>
          <w:szCs w:val="24"/>
        </w:rPr>
      </w:pPr>
      <w:r w:rsidRPr="007D3693">
        <w:rPr>
          <w:rFonts w:ascii="Palatino Linotype" w:hAnsi="Palatino Linotype"/>
          <w:sz w:val="24"/>
          <w:szCs w:val="24"/>
        </w:rPr>
        <w:t>Resultados de estudio de gabinete realizados en el Instituto.</w:t>
      </w:r>
    </w:p>
    <w:p w:rsidR="00BB24E2" w:rsidRPr="007D3693" w:rsidRDefault="00BB24E2" w:rsidP="00BB24E2">
      <w:pPr>
        <w:pStyle w:val="Prrafodelista"/>
        <w:numPr>
          <w:ilvl w:val="0"/>
          <w:numId w:val="22"/>
        </w:numPr>
        <w:rPr>
          <w:rFonts w:ascii="Palatino Linotype" w:hAnsi="Palatino Linotype"/>
          <w:sz w:val="24"/>
          <w:szCs w:val="24"/>
        </w:rPr>
      </w:pPr>
      <w:r w:rsidRPr="007D3693">
        <w:rPr>
          <w:rFonts w:ascii="Palatino Linotype" w:hAnsi="Palatino Linotype"/>
          <w:sz w:val="24"/>
          <w:szCs w:val="24"/>
        </w:rPr>
        <w:t>Hojas de Trabajo Social.</w:t>
      </w:r>
    </w:p>
    <w:p w:rsidR="00BB24E2" w:rsidRPr="007D3693" w:rsidRDefault="00BB24E2" w:rsidP="00BB24E2">
      <w:pPr>
        <w:rPr>
          <w:rFonts w:ascii="Palatino Linotype" w:hAnsi="Palatino Linotype"/>
          <w:sz w:val="24"/>
          <w:szCs w:val="24"/>
        </w:rPr>
      </w:pPr>
    </w:p>
    <w:p w:rsidR="00BB24E2" w:rsidRPr="007D3693" w:rsidRDefault="00BB24E2" w:rsidP="00BB24E2">
      <w:pPr>
        <w:pStyle w:val="Prrafodelista"/>
        <w:numPr>
          <w:ilvl w:val="0"/>
          <w:numId w:val="22"/>
        </w:numPr>
        <w:rPr>
          <w:rFonts w:ascii="Palatino Linotype" w:hAnsi="Palatino Linotype"/>
          <w:sz w:val="24"/>
          <w:szCs w:val="24"/>
        </w:rPr>
      </w:pPr>
      <w:r w:rsidRPr="007D3693">
        <w:rPr>
          <w:rFonts w:ascii="Palatino Linotype" w:hAnsi="Palatino Linotype"/>
          <w:sz w:val="24"/>
          <w:szCs w:val="24"/>
        </w:rPr>
        <w:t>Otros Documentos: (Hoja de datos de egreso, Hoja de enfermería, Hoja de indicaciones médicas, etcétera)</w:t>
      </w:r>
    </w:p>
    <w:p w:rsidR="00BB24E2" w:rsidRPr="007D3693" w:rsidRDefault="00BB24E2" w:rsidP="00BB24E2">
      <w:pPr>
        <w:spacing w:before="240" w:line="360" w:lineRule="auto"/>
        <w:contextualSpacing/>
        <w:jc w:val="both"/>
        <w:rPr>
          <w:rFonts w:ascii="Palatino Linotype" w:hAnsi="Palatino Linotype"/>
          <w:sz w:val="24"/>
          <w:szCs w:val="24"/>
        </w:rPr>
      </w:pPr>
      <w:r w:rsidRPr="007D3693">
        <w:rPr>
          <w:rFonts w:ascii="Palatino Linotype" w:hAnsi="Palatino Linotype"/>
          <w:sz w:val="24"/>
          <w:szCs w:val="24"/>
        </w:rPr>
        <w:lastRenderedPageBreak/>
        <w:t xml:space="preserve">Una vez precisado lo anterior, debe mencionarse que respecto de la determinación que  se analiza he encontrado puntos de fondo los cuales me han orillado a disentir de la resolución que fue considerada por mis compañeros del pleno, lo anterior es así en virtud de que si bien es cierto la Ley de Protección de Datos Personales vigente en la entidad federativa contempla en los artículos 131 y 132 la conciliación, no obstante lo anterior, en primer momento considero pertinente precisar en qué consiste la figura jurídica en comento: </w:t>
      </w:r>
    </w:p>
    <w:p w:rsidR="00BB24E2" w:rsidRPr="007D3693" w:rsidRDefault="00BB24E2" w:rsidP="00BB24E2">
      <w:pPr>
        <w:pStyle w:val="Prrafodelista"/>
        <w:numPr>
          <w:ilvl w:val="0"/>
          <w:numId w:val="20"/>
        </w:numPr>
        <w:spacing w:before="240" w:after="0" w:line="360" w:lineRule="auto"/>
        <w:jc w:val="both"/>
        <w:rPr>
          <w:rFonts w:ascii="Palatino Linotype" w:hAnsi="Palatino Linotype"/>
          <w:sz w:val="24"/>
          <w:szCs w:val="24"/>
        </w:rPr>
      </w:pPr>
      <w:r w:rsidRPr="007D3693">
        <w:rPr>
          <w:rFonts w:ascii="Palatino Linotype" w:eastAsia="Times New Roman" w:hAnsi="Palatino Linotype"/>
          <w:b/>
          <w:sz w:val="24"/>
          <w:szCs w:val="24"/>
          <w:lang w:eastAsia="es-MX"/>
        </w:rPr>
        <w:t>Conciliación:</w:t>
      </w:r>
      <w:r w:rsidRPr="007D3693">
        <w:rPr>
          <w:rFonts w:ascii="Palatino Linotype" w:eastAsia="Times New Roman" w:hAnsi="Palatino Linotype"/>
          <w:sz w:val="24"/>
          <w:szCs w:val="24"/>
          <w:lang w:eastAsia="es-MX"/>
        </w:rPr>
        <w:t xml:space="preserve"> Proceso en el que uno o más conciliadores asisten a los interesados facilitándoles el diálogo y proponiendo soluciones legales, equitativas y justas al conflicto </w:t>
      </w:r>
      <w:r w:rsidRPr="007D3693">
        <w:rPr>
          <w:rFonts w:ascii="Palatino Linotype" w:eastAsia="Times New Roman" w:hAnsi="Palatino Linotype"/>
          <w:i/>
          <w:sz w:val="24"/>
          <w:szCs w:val="24"/>
          <w:lang w:eastAsia="es-MX"/>
        </w:rPr>
        <w:t>(Ley de Mediación, Conciliación y Promoción de la Paz Social para el Estado de México</w:t>
      </w:r>
      <w:r w:rsidRPr="007D3693">
        <w:rPr>
          <w:rFonts w:ascii="Palatino Linotype" w:eastAsia="Times New Roman" w:hAnsi="Palatino Linotype"/>
          <w:sz w:val="24"/>
          <w:szCs w:val="24"/>
          <w:lang w:eastAsia="es-MX"/>
        </w:rPr>
        <w:t>)</w:t>
      </w:r>
    </w:p>
    <w:p w:rsidR="00BB24E2" w:rsidRPr="007D3693" w:rsidRDefault="00BB24E2" w:rsidP="00BB24E2">
      <w:pPr>
        <w:shd w:val="clear" w:color="auto" w:fill="FFFFFF"/>
        <w:spacing w:line="235" w:lineRule="atLeast"/>
        <w:jc w:val="both"/>
        <w:rPr>
          <w:rFonts w:ascii="Palatino Linotype" w:eastAsia="Times New Roman" w:hAnsi="Palatino Linotype" w:cs="Times New Roman"/>
          <w:color w:val="FF0000"/>
          <w:sz w:val="24"/>
          <w:szCs w:val="24"/>
          <w:lang w:eastAsia="es-MX"/>
        </w:rPr>
      </w:pPr>
      <w:r w:rsidRPr="007D3693">
        <w:rPr>
          <w:rFonts w:ascii="Palatino Linotype" w:eastAsia="Times New Roman" w:hAnsi="Palatino Linotype" w:cs="Times New Roman"/>
          <w:color w:val="FF0000"/>
          <w:sz w:val="24"/>
          <w:szCs w:val="24"/>
          <w:lang w:eastAsia="es-MX"/>
        </w:rPr>
        <w:t> </w:t>
      </w:r>
    </w:p>
    <w:p w:rsidR="00BB24E2" w:rsidRPr="007D3693" w:rsidRDefault="00BB24E2"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eastAsia="Times New Roman" w:hAnsi="Palatino Linotype" w:cs="Times New Roman"/>
          <w:sz w:val="24"/>
          <w:szCs w:val="24"/>
          <w:lang w:eastAsia="es-MX"/>
        </w:rPr>
        <w:t>Al respecto es de suma importancia mencionar que el Reglamento del Centro de Mediación y Conciliación del Poder Judicial del Estado de México refiere que la conciliación se rige por los principios de voluntariedad, gratuidad, neutralidad, confidencialidad e imparcialidad.</w:t>
      </w:r>
    </w:p>
    <w:p w:rsidR="00BB24E2" w:rsidRPr="007D3693" w:rsidRDefault="00BB24E2" w:rsidP="00BB24E2">
      <w:pPr>
        <w:pStyle w:val="Prrafodelista"/>
        <w:numPr>
          <w:ilvl w:val="0"/>
          <w:numId w:val="20"/>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Principio de voluntariedad: La conciliación son voluntarias por lo que no podrán ser impuestas a persona alguna.</w:t>
      </w:r>
    </w:p>
    <w:p w:rsidR="00BB24E2" w:rsidRPr="007D3693" w:rsidRDefault="00BB24E2" w:rsidP="00BB24E2">
      <w:pPr>
        <w:pStyle w:val="Prrafodelista"/>
        <w:numPr>
          <w:ilvl w:val="0"/>
          <w:numId w:val="20"/>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Principio de gratuidad: La conciliación es un servicio totalmente. No cobrará retribución alguna por la prestación de sus servicios. Queda prohibida toda clase de dádiva o gratificación.</w:t>
      </w:r>
    </w:p>
    <w:p w:rsidR="009E18B9" w:rsidRPr="007D3693" w:rsidRDefault="009E18B9" w:rsidP="009E18B9">
      <w:pPr>
        <w:shd w:val="clear" w:color="auto" w:fill="FFFFFF"/>
        <w:spacing w:after="0" w:line="360" w:lineRule="auto"/>
        <w:jc w:val="both"/>
        <w:rPr>
          <w:rFonts w:ascii="Palatino Linotype" w:eastAsia="Times New Roman" w:hAnsi="Palatino Linotype"/>
          <w:sz w:val="24"/>
          <w:szCs w:val="24"/>
          <w:lang w:eastAsia="es-MX"/>
        </w:rPr>
      </w:pPr>
    </w:p>
    <w:p w:rsidR="009E18B9" w:rsidRPr="007D3693" w:rsidRDefault="009E18B9" w:rsidP="009E18B9">
      <w:pPr>
        <w:shd w:val="clear" w:color="auto" w:fill="FFFFFF"/>
        <w:spacing w:after="0" w:line="360" w:lineRule="auto"/>
        <w:jc w:val="both"/>
        <w:rPr>
          <w:rFonts w:ascii="Palatino Linotype" w:eastAsia="Times New Roman" w:hAnsi="Palatino Linotype"/>
          <w:sz w:val="24"/>
          <w:szCs w:val="24"/>
          <w:lang w:eastAsia="es-MX"/>
        </w:rPr>
      </w:pPr>
    </w:p>
    <w:p w:rsidR="009E18B9" w:rsidRPr="007D3693" w:rsidRDefault="009E18B9" w:rsidP="009E18B9">
      <w:pPr>
        <w:shd w:val="clear" w:color="auto" w:fill="FFFFFF"/>
        <w:spacing w:after="0" w:line="360" w:lineRule="auto"/>
        <w:jc w:val="both"/>
        <w:rPr>
          <w:rFonts w:ascii="Palatino Linotype" w:eastAsia="Times New Roman" w:hAnsi="Palatino Linotype"/>
          <w:sz w:val="24"/>
          <w:szCs w:val="24"/>
          <w:lang w:eastAsia="es-MX"/>
        </w:rPr>
      </w:pPr>
    </w:p>
    <w:p w:rsidR="00BB24E2" w:rsidRPr="007D3693" w:rsidRDefault="00BB24E2" w:rsidP="00BB24E2">
      <w:pPr>
        <w:pStyle w:val="Prrafodelista"/>
        <w:numPr>
          <w:ilvl w:val="0"/>
          <w:numId w:val="20"/>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lastRenderedPageBreak/>
        <w:t>Principio de neutralidad: Los conciliadores no deben hacer alianza con ninguno de los participantes en conflicto.</w:t>
      </w:r>
    </w:p>
    <w:p w:rsidR="00BB24E2" w:rsidRPr="007D3693" w:rsidRDefault="00BB24E2" w:rsidP="00BB24E2">
      <w:pPr>
        <w:pStyle w:val="Prrafodelista"/>
        <w:numPr>
          <w:ilvl w:val="0"/>
          <w:numId w:val="20"/>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Principio de confidencialidad: No debe divulgarse lo ocurrido dentro de los procesos de mediación o conciliación, excepto con el consentimiento de la totalidad de los participantes involucrados.</w:t>
      </w:r>
    </w:p>
    <w:p w:rsidR="00BB24E2" w:rsidRPr="007D3693" w:rsidRDefault="00BB24E2" w:rsidP="00BB24E2">
      <w:pPr>
        <w:pStyle w:val="Prrafodelista"/>
        <w:numPr>
          <w:ilvl w:val="0"/>
          <w:numId w:val="20"/>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Principio de imparcialidad: El mediador-conciliador asignado a un determinado asunto, no debe actuar a favor o en contra de alguno de los participantes en conflicto.</w:t>
      </w:r>
    </w:p>
    <w:p w:rsidR="00BB24E2" w:rsidRPr="007D3693" w:rsidRDefault="00BB24E2" w:rsidP="00BB24E2">
      <w:pPr>
        <w:shd w:val="clear" w:color="auto" w:fill="FFFFFF"/>
        <w:spacing w:after="0" w:line="360" w:lineRule="auto"/>
        <w:jc w:val="both"/>
        <w:rPr>
          <w:rFonts w:ascii="Palatino Linotype" w:eastAsia="Times New Roman" w:hAnsi="Palatino Linotype" w:cs="Times New Roman"/>
          <w:color w:val="FF0000"/>
          <w:sz w:val="24"/>
          <w:szCs w:val="24"/>
          <w:lang w:eastAsia="es-MX"/>
        </w:rPr>
      </w:pPr>
      <w:r w:rsidRPr="007D3693">
        <w:rPr>
          <w:rFonts w:ascii="Palatino Linotype" w:eastAsia="Times New Roman" w:hAnsi="Palatino Linotype" w:cs="Times New Roman"/>
          <w:color w:val="FF0000"/>
          <w:sz w:val="24"/>
          <w:szCs w:val="24"/>
          <w:lang w:eastAsia="es-MX"/>
        </w:rPr>
        <w:t> </w:t>
      </w:r>
    </w:p>
    <w:p w:rsidR="002C0935"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hAnsi="Palatino Linotype"/>
          <w:sz w:val="24"/>
          <w:szCs w:val="24"/>
        </w:rPr>
        <w:t>El conciliador en derecho en el servicio público, es la persona capacitada, formado en Mecanismos Alternativos de Solución de Conflictos, quien es autorizado por la legislación, para administrar justicia de forma transitoria, mediante la conciliación, buscando el acercamiento entre las partes para lograr acuerdos y soluciones a los conflictos jurídicos que impacten positivamente a la sociedad. El mecanismo para lograr dicha conciliación se establece mediante actas de conciliación o constancias que prestan mérito ejecutivo y hacen tránsito a cosa juzgada, asimilando sus efectos legales a los de una sentencia</w:t>
      </w:r>
    </w:p>
    <w:p w:rsidR="002C0935"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2C0935"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2C0935"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BB24E2"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eastAsia="Times New Roman" w:hAnsi="Palatino Linotype" w:cs="Times New Roman"/>
          <w:sz w:val="24"/>
          <w:szCs w:val="24"/>
          <w:lang w:eastAsia="es-MX"/>
        </w:rPr>
        <w:t xml:space="preserve">Por otra parte, </w:t>
      </w:r>
      <w:r w:rsidR="00BB24E2" w:rsidRPr="007D3693">
        <w:rPr>
          <w:rFonts w:ascii="Palatino Linotype" w:eastAsia="Times New Roman" w:hAnsi="Palatino Linotype" w:cs="Times New Roman"/>
          <w:sz w:val="24"/>
          <w:szCs w:val="24"/>
          <w:lang w:eastAsia="es-MX"/>
        </w:rPr>
        <w:t xml:space="preserve"> en el procedimiento de conciliación encontramos la existencia de un conciliador, que es la persona, con nombramiento oficial, capacitada para facilitar la comunicación y en su caso, proponer una solución a las partes que intervienen en una controversia, el cual tiene las obligaciones siguientes:</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Desarrollar su función imparcial y neutralmente;</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lastRenderedPageBreak/>
        <w:t>Realizar la conciliación en la forma y términos establecidos en el presente reglamento y demás disposiciones aplicables;</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Vigilar que en el trámite de conciliación no se afecten derechos de terceros o intereses de menores o incapaces</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Cerciorarse de que los interesados tengan correcto entendimiento del proceso y alcances de la conciliación desde su inicio hasta su conclusión.</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Cerciorarse que la voluntad de los interesados no sufra algún vicio del consentimiento;</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Facilitar la comunicación directa de los interesados;</w:t>
      </w: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 xml:space="preserve">Propiciar una satisfactoria composición de intereses, mediante el consentimiento informado de las partes; y </w:t>
      </w:r>
    </w:p>
    <w:p w:rsidR="009E18B9" w:rsidRPr="007D3693" w:rsidRDefault="009E18B9" w:rsidP="009E18B9">
      <w:pPr>
        <w:pStyle w:val="Prrafodelista"/>
        <w:shd w:val="clear" w:color="auto" w:fill="FFFFFF"/>
        <w:spacing w:after="0" w:line="360" w:lineRule="auto"/>
        <w:jc w:val="both"/>
        <w:rPr>
          <w:rFonts w:ascii="Palatino Linotype" w:eastAsia="Times New Roman" w:hAnsi="Palatino Linotype"/>
          <w:sz w:val="24"/>
          <w:szCs w:val="24"/>
          <w:lang w:eastAsia="es-MX"/>
        </w:rPr>
      </w:pPr>
    </w:p>
    <w:p w:rsidR="00BB24E2" w:rsidRPr="007D3693" w:rsidRDefault="00BB24E2" w:rsidP="00BB24E2">
      <w:pPr>
        <w:pStyle w:val="Prrafodelista"/>
        <w:numPr>
          <w:ilvl w:val="0"/>
          <w:numId w:val="21"/>
        </w:numPr>
        <w:shd w:val="clear" w:color="auto" w:fill="FFFFFF"/>
        <w:spacing w:after="0" w:line="360" w:lineRule="auto"/>
        <w:jc w:val="both"/>
        <w:rPr>
          <w:rFonts w:ascii="Palatino Linotype" w:eastAsia="Times New Roman" w:hAnsi="Palatino Linotype"/>
          <w:sz w:val="24"/>
          <w:szCs w:val="24"/>
          <w:lang w:eastAsia="es-MX"/>
        </w:rPr>
      </w:pPr>
      <w:r w:rsidRPr="007D3693">
        <w:rPr>
          <w:rFonts w:ascii="Palatino Linotype" w:eastAsia="Times New Roman" w:hAnsi="Palatino Linotype"/>
          <w:sz w:val="24"/>
          <w:szCs w:val="24"/>
          <w:lang w:eastAsia="es-MX"/>
        </w:rPr>
        <w:t>Acatar las demás disposiciones contenidas en las leyes, reglamentos, manuales, circulares, oficios y acuerdos relativos al servicio de la mediación o conciliación extrajudicial.</w:t>
      </w:r>
    </w:p>
    <w:p w:rsidR="002C0935"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2C0935" w:rsidRPr="007D3693" w:rsidRDefault="008C4861"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hAnsi="Palatino Linotype"/>
          <w:sz w:val="24"/>
          <w:szCs w:val="24"/>
        </w:rPr>
        <w:t>Es así como una de las figuras socio-jurídicas más importantes en el derecho para dirimir los conflictos de la sociedad es la conciliación, y en ella quien ejecuta el proceso debe ser una persona que ayude a dirimir las controversias jurídicas que se presentan entre los miembros de la sociedad.</w:t>
      </w:r>
    </w:p>
    <w:p w:rsidR="002C0935" w:rsidRPr="007D3693" w:rsidRDefault="008C4861"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hAnsi="Palatino Linotype"/>
          <w:sz w:val="24"/>
          <w:szCs w:val="24"/>
        </w:rPr>
        <w:t xml:space="preserve">En la conciliación se evidencia la necesidad del reconocimiento del otro, y el conciliador, en su labor, actúa como facilitador, como mediador que reconoce a las personas en conflicto. Francois Six anota en su libro Dinámica de la mediación: “Todos necesitamos ser reconocidos por terceros; seamos quienes seamos todos </w:t>
      </w:r>
      <w:r w:rsidRPr="007D3693">
        <w:rPr>
          <w:rFonts w:ascii="Palatino Linotype" w:hAnsi="Palatino Linotype"/>
          <w:sz w:val="24"/>
          <w:szCs w:val="24"/>
        </w:rPr>
        <w:lastRenderedPageBreak/>
        <w:t>necesitamos mediación, porque la mediación se nos aparece como un lazo indispensable de nuestro mundo”</w:t>
      </w:r>
    </w:p>
    <w:p w:rsidR="002C0935" w:rsidRPr="007D3693" w:rsidRDefault="002C0935"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BB24E2" w:rsidRPr="007D3693" w:rsidRDefault="00BB24E2"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eastAsia="Times New Roman" w:hAnsi="Palatino Linotype" w:cs="Times New Roman"/>
          <w:sz w:val="24"/>
          <w:szCs w:val="24"/>
          <w:lang w:eastAsia="es-MX"/>
        </w:rPr>
        <w:t>Al respecto debe precisarse que en el caso en concreto, si bien es cierto en el presente asunto se llegó a un acuerdo conciliatorio en el que el sujeto Obligado se comprometió entregar la información requerida, previo pago de los derechos correspondientes, sin embargo a consideración del suscrito, en el presente asunto en el acuerdo de conciliación, de manera específica el personal adscrito a este Instituto debió hacerse una ponderación de los derechos que estaban en juego, lo anterior, con la finalidad de determinar si la persona que requiere acceder a la información tiene interés legítimo y jurídico para ello, se afirma lo anterior, en virtud de que no se debe perder de vista que en el presente asunto se pretende acceder a derechos de un tercero(</w:t>
      </w:r>
      <w:r w:rsidRPr="007D3693">
        <w:rPr>
          <w:rFonts w:ascii="Palatino Linotype" w:eastAsia="Times New Roman" w:hAnsi="Palatino Linotype" w:cs="Times New Roman"/>
          <w:i/>
          <w:sz w:val="24"/>
          <w:szCs w:val="24"/>
          <w:lang w:eastAsia="es-MX"/>
        </w:rPr>
        <w:t>persona fallecida</w:t>
      </w:r>
      <w:r w:rsidR="009E18B9" w:rsidRPr="007D3693">
        <w:rPr>
          <w:rFonts w:ascii="Palatino Linotype" w:eastAsia="Times New Roman" w:hAnsi="Palatino Linotype" w:cs="Times New Roman"/>
          <w:sz w:val="24"/>
          <w:szCs w:val="24"/>
          <w:lang w:eastAsia="es-MX"/>
        </w:rPr>
        <w:t xml:space="preserve">), es decir, la persona </w:t>
      </w:r>
      <w:r w:rsidRPr="007D3693">
        <w:rPr>
          <w:rFonts w:ascii="Palatino Linotype" w:eastAsia="Times New Roman" w:hAnsi="Palatino Linotype" w:cs="Times New Roman"/>
          <w:sz w:val="24"/>
          <w:szCs w:val="24"/>
          <w:lang w:eastAsia="es-MX"/>
        </w:rPr>
        <w:t xml:space="preserve"> si bien refiere ser la beneficiaria de una póliza de seguro, los datos contenidos en el expediente clín</w:t>
      </w:r>
      <w:r w:rsidR="009E18B9" w:rsidRPr="007D3693">
        <w:rPr>
          <w:rFonts w:ascii="Palatino Linotype" w:eastAsia="Times New Roman" w:hAnsi="Palatino Linotype" w:cs="Times New Roman"/>
          <w:sz w:val="24"/>
          <w:szCs w:val="24"/>
          <w:lang w:eastAsia="es-MX"/>
        </w:rPr>
        <w:t>ico requerido no pertenecen a las misma.</w:t>
      </w:r>
    </w:p>
    <w:p w:rsidR="009E18B9" w:rsidRPr="007D3693" w:rsidRDefault="009E18B9" w:rsidP="00BB24E2">
      <w:pPr>
        <w:shd w:val="clear" w:color="auto" w:fill="FFFFFF"/>
        <w:spacing w:after="0" w:line="360" w:lineRule="auto"/>
        <w:jc w:val="both"/>
        <w:rPr>
          <w:rFonts w:ascii="Palatino Linotype" w:eastAsia="Times New Roman" w:hAnsi="Palatino Linotype" w:cs="Times New Roman"/>
          <w:color w:val="FF0000"/>
          <w:sz w:val="24"/>
          <w:szCs w:val="24"/>
          <w:lang w:eastAsia="es-MX"/>
        </w:rPr>
      </w:pPr>
    </w:p>
    <w:p w:rsidR="009E18B9" w:rsidRPr="007D3693" w:rsidRDefault="009E18B9" w:rsidP="00BB24E2">
      <w:pPr>
        <w:shd w:val="clear" w:color="auto" w:fill="FFFFFF"/>
        <w:spacing w:after="0" w:line="360" w:lineRule="auto"/>
        <w:jc w:val="both"/>
        <w:rPr>
          <w:rFonts w:ascii="Palatino Linotype" w:eastAsia="Times New Roman" w:hAnsi="Palatino Linotype" w:cs="Times New Roman"/>
          <w:color w:val="FF0000"/>
          <w:sz w:val="24"/>
          <w:szCs w:val="24"/>
          <w:lang w:eastAsia="es-MX"/>
        </w:rPr>
      </w:pPr>
    </w:p>
    <w:p w:rsidR="009E18B9" w:rsidRPr="007D3693" w:rsidRDefault="00BB24E2"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eastAsia="Times New Roman" w:hAnsi="Palatino Linotype" w:cs="Times New Roman"/>
          <w:sz w:val="24"/>
          <w:szCs w:val="24"/>
          <w:lang w:eastAsia="es-MX"/>
        </w:rPr>
        <w:t>Por otra parte, se debió determinarse cuál era el contenido del expediente clínico en comento, lo anterior, para determinar si era pertinente otorgar el acceso total a los documentos que integran el expediente en comento, o solo a parte del mismo, toda vez que no se debe perder de vista que dichas documentales contienen información relacionadas con el estado salud de una persona distinta a la hoy recurrente, que de hacerse públicas pueden atentar el honor del titular de los datos solicitados, motivo por el cual y tomando en cuenta que este Órgano garante es el encargo de velar por la</w:t>
      </w:r>
    </w:p>
    <w:p w:rsidR="009E18B9" w:rsidRPr="007D3693" w:rsidRDefault="009E18B9"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9E18B9" w:rsidRPr="007D3693" w:rsidRDefault="009E18B9" w:rsidP="00BB24E2">
      <w:pPr>
        <w:shd w:val="clear" w:color="auto" w:fill="FFFFFF"/>
        <w:spacing w:after="0" w:line="360" w:lineRule="auto"/>
        <w:jc w:val="both"/>
        <w:rPr>
          <w:rFonts w:ascii="Palatino Linotype" w:eastAsia="Times New Roman" w:hAnsi="Palatino Linotype" w:cs="Times New Roman"/>
          <w:sz w:val="24"/>
          <w:szCs w:val="24"/>
          <w:lang w:eastAsia="es-MX"/>
        </w:rPr>
      </w:pPr>
    </w:p>
    <w:p w:rsidR="00BB24E2" w:rsidRPr="007D3693" w:rsidRDefault="00BB24E2" w:rsidP="00BB24E2">
      <w:pPr>
        <w:shd w:val="clear" w:color="auto" w:fill="FFFFFF"/>
        <w:spacing w:after="0" w:line="360" w:lineRule="auto"/>
        <w:jc w:val="both"/>
        <w:rPr>
          <w:rFonts w:ascii="Palatino Linotype" w:eastAsia="Times New Roman" w:hAnsi="Palatino Linotype" w:cs="Times New Roman"/>
          <w:color w:val="FF0000"/>
          <w:sz w:val="24"/>
          <w:szCs w:val="24"/>
          <w:lang w:eastAsia="es-MX"/>
        </w:rPr>
      </w:pPr>
      <w:r w:rsidRPr="007D3693">
        <w:rPr>
          <w:rFonts w:ascii="Palatino Linotype" w:eastAsia="Times New Roman" w:hAnsi="Palatino Linotype" w:cs="Times New Roman"/>
          <w:sz w:val="24"/>
          <w:szCs w:val="24"/>
          <w:lang w:eastAsia="es-MX"/>
        </w:rPr>
        <w:t xml:space="preserve"> protección de datos personales, el actuar, de este Instituto en el presente asunto debió ser más participe en el procedimiento en comento.</w:t>
      </w:r>
    </w:p>
    <w:p w:rsidR="009E18B9" w:rsidRPr="007D3693" w:rsidRDefault="009E18B9" w:rsidP="00BB24E2">
      <w:pPr>
        <w:shd w:val="clear" w:color="auto" w:fill="FFFFFF"/>
        <w:spacing w:after="0" w:line="360" w:lineRule="auto"/>
        <w:jc w:val="both"/>
        <w:rPr>
          <w:rFonts w:ascii="Palatino Linotype" w:eastAsia="Times New Roman" w:hAnsi="Palatino Linotype" w:cs="Times New Roman"/>
          <w:color w:val="FF0000"/>
          <w:sz w:val="24"/>
          <w:szCs w:val="24"/>
          <w:lang w:eastAsia="es-MX"/>
        </w:rPr>
      </w:pPr>
    </w:p>
    <w:p w:rsidR="00BB24E2" w:rsidRPr="007D3693" w:rsidRDefault="00BB24E2" w:rsidP="00BB24E2">
      <w:pPr>
        <w:shd w:val="clear" w:color="auto" w:fill="FFFFFF"/>
        <w:spacing w:after="0" w:line="360" w:lineRule="auto"/>
        <w:jc w:val="both"/>
        <w:rPr>
          <w:rFonts w:ascii="Palatino Linotype" w:eastAsia="Times New Roman" w:hAnsi="Palatino Linotype" w:cs="Times New Roman"/>
          <w:sz w:val="24"/>
          <w:szCs w:val="24"/>
          <w:lang w:eastAsia="es-MX"/>
        </w:rPr>
      </w:pPr>
      <w:r w:rsidRPr="007D3693">
        <w:rPr>
          <w:rFonts w:ascii="Palatino Linotype" w:eastAsia="Times New Roman" w:hAnsi="Palatino Linotype" w:cs="Times New Roman"/>
          <w:sz w:val="24"/>
          <w:szCs w:val="24"/>
          <w:lang w:eastAsia="es-MX"/>
        </w:rPr>
        <w:t>Lo anterior, es así en virtud de que si bien es cierto las partes que intervienen en un procedimiento de conciliación realizan las propuestas que a sus derechos estimen pertinentes, sin embargo no se debe soslayar que el conciliador es el encargado de vigilar que el procedimiento se lleve a cabo conforme a lo establecido en la normatividad de la materia, vigilando en todo momento que durante la tramitación del procedimiento de conciliación no se afecten derechos de terceros o intereses de menores o incapaces,  tal y como lo mencionan los principios que son ejes rectores y esencia de la conciliación, como mecanismo alternativo de solución de controversias.</w:t>
      </w:r>
    </w:p>
    <w:p w:rsidR="0088782E" w:rsidRPr="007D3693" w:rsidRDefault="0088782E" w:rsidP="00656A53">
      <w:pPr>
        <w:spacing w:before="240" w:after="240" w:line="360" w:lineRule="auto"/>
        <w:jc w:val="both"/>
        <w:rPr>
          <w:rFonts w:ascii="Palatino Linotype" w:hAnsi="Palatino Linotype"/>
          <w:color w:val="FF0000"/>
          <w:sz w:val="24"/>
          <w:szCs w:val="24"/>
        </w:rPr>
      </w:pPr>
    </w:p>
    <w:p w:rsidR="009E18B9" w:rsidRPr="007D3693" w:rsidRDefault="005A18A1" w:rsidP="00656A53">
      <w:pPr>
        <w:spacing w:before="240" w:after="240" w:line="360" w:lineRule="auto"/>
        <w:jc w:val="both"/>
        <w:rPr>
          <w:rFonts w:ascii="Palatino Linotype" w:hAnsi="Palatino Linotype"/>
          <w:color w:val="FF0000"/>
          <w:sz w:val="24"/>
          <w:szCs w:val="24"/>
        </w:rPr>
      </w:pPr>
      <w:r w:rsidRPr="007D3693">
        <w:rPr>
          <w:rFonts w:ascii="Palatino Linotype" w:hAnsi="Palatino Linotype"/>
          <w:sz w:val="24"/>
          <w:szCs w:val="24"/>
        </w:rPr>
        <w:t>El ámbito de esta responsabilidad no solo alcanza al conciliador extrajudicial sino también al Centro de Conciliación. El conciliador como un tercero imparcial que asiste a las partes en la búsqueda de una solución consensual; en el ejercicio de su función conciliadora destinado a éste fin, desempeña una actividad extrajudicial que se exterioriza en el desarrollo de habilidades y</w:t>
      </w:r>
    </w:p>
    <w:p w:rsidR="009E18B9" w:rsidRPr="007D3693" w:rsidRDefault="005A18A1" w:rsidP="00656A53">
      <w:pPr>
        <w:spacing w:before="240" w:after="240" w:line="360" w:lineRule="auto"/>
        <w:jc w:val="both"/>
        <w:rPr>
          <w:rFonts w:ascii="Palatino Linotype" w:hAnsi="Palatino Linotype"/>
          <w:color w:val="FF0000"/>
          <w:sz w:val="24"/>
          <w:szCs w:val="24"/>
        </w:rPr>
      </w:pPr>
      <w:r w:rsidRPr="007D3693">
        <w:rPr>
          <w:rFonts w:ascii="Palatino Linotype" w:hAnsi="Palatino Linotype"/>
          <w:sz w:val="24"/>
          <w:szCs w:val="24"/>
        </w:rPr>
        <w:t xml:space="preserve">destrezas, en el cumplimiento de deberes y obligaciones determinadas por principios éticos claramente definidos en la legislación sobre la materia. En tal sentido, el alcance de la responsabilidad del conciliador se inicia con la aceptación </w:t>
      </w:r>
      <w:r w:rsidRPr="007D3693">
        <w:rPr>
          <w:rFonts w:ascii="Palatino Linotype" w:hAnsi="Palatino Linotype"/>
          <w:sz w:val="24"/>
          <w:szCs w:val="24"/>
        </w:rPr>
        <w:lastRenderedPageBreak/>
        <w:t>de la designación como conciliador en un caso determinado y culmina con la entrega de la copia certificada del acta a cada una de las partes conciliantes. En cambio, la responsabilidad del Centro de Conciliación que es la institución a través de la cual el conciliador ejerce la función conciliatoria y que ha sido autorizado con este fin por el Ministerio de Justicia, tiene responsabilidad sobre el procedimiento de conciliación desde la aceptación de la solicitud de conciliación hasta la entrega de las copias certificadas del acta de conciliación a cada una de las partes; estando entre sus principales obligaciones vigilar que el procedimiento y el desempeño de los conciliadores en el ejercicio de la función conciliadora se realicen bajo los principios éticos legales y en cumplimiento de las disposiciones contempladas en la legislación sobre la materia.</w:t>
      </w:r>
    </w:p>
    <w:p w:rsidR="009E18B9" w:rsidRPr="007D3693" w:rsidRDefault="009E18B9" w:rsidP="00656A53">
      <w:pPr>
        <w:spacing w:before="240" w:after="240" w:line="360" w:lineRule="auto"/>
        <w:jc w:val="both"/>
        <w:rPr>
          <w:rFonts w:ascii="Palatino Linotype" w:hAnsi="Palatino Linotype"/>
          <w:color w:val="FF0000"/>
          <w:sz w:val="24"/>
          <w:szCs w:val="24"/>
        </w:rPr>
      </w:pPr>
    </w:p>
    <w:p w:rsidR="009E18B9" w:rsidRPr="007D3693" w:rsidRDefault="009E18B9" w:rsidP="00656A53">
      <w:pPr>
        <w:spacing w:before="240" w:after="240" w:line="360" w:lineRule="auto"/>
        <w:jc w:val="both"/>
        <w:rPr>
          <w:rFonts w:ascii="Palatino Linotype" w:hAnsi="Palatino Linotype"/>
          <w:color w:val="FF0000"/>
          <w:sz w:val="24"/>
          <w:szCs w:val="24"/>
        </w:rPr>
      </w:pPr>
    </w:p>
    <w:p w:rsidR="009E18B9" w:rsidRPr="007D3693" w:rsidRDefault="009E18B9" w:rsidP="00656A53">
      <w:pPr>
        <w:spacing w:before="240" w:after="240" w:line="360" w:lineRule="auto"/>
        <w:jc w:val="both"/>
        <w:rPr>
          <w:rFonts w:ascii="Palatino Linotype" w:hAnsi="Palatino Linotype"/>
          <w:color w:val="FF0000"/>
          <w:sz w:val="24"/>
          <w:szCs w:val="24"/>
        </w:rPr>
      </w:pPr>
    </w:p>
    <w:p w:rsidR="009E18B9" w:rsidRPr="007D3693" w:rsidRDefault="009E18B9" w:rsidP="00656A53">
      <w:pPr>
        <w:spacing w:before="240" w:after="240" w:line="360" w:lineRule="auto"/>
        <w:jc w:val="both"/>
        <w:rPr>
          <w:rFonts w:ascii="Palatino Linotype" w:hAnsi="Palatino Linotype"/>
          <w:color w:val="FF0000"/>
          <w:sz w:val="24"/>
          <w:szCs w:val="24"/>
        </w:rPr>
      </w:pPr>
    </w:p>
    <w:p w:rsidR="009E18B9" w:rsidRPr="007D3693" w:rsidRDefault="009E18B9" w:rsidP="00656A53">
      <w:pPr>
        <w:spacing w:before="240" w:after="240" w:line="360" w:lineRule="auto"/>
        <w:jc w:val="both"/>
        <w:rPr>
          <w:rFonts w:ascii="Palatino Linotype" w:hAnsi="Palatino Linotype"/>
          <w:sz w:val="24"/>
          <w:szCs w:val="24"/>
        </w:rPr>
      </w:pPr>
    </w:p>
    <w:p w:rsidR="00B72322" w:rsidRPr="007D3693" w:rsidRDefault="00B72322" w:rsidP="006F7C5A">
      <w:pPr>
        <w:spacing w:before="240" w:after="0" w:line="360" w:lineRule="auto"/>
        <w:jc w:val="both"/>
        <w:rPr>
          <w:rFonts w:ascii="Palatino Linotype" w:hAnsi="Palatino Linotype" w:cs="Arial"/>
          <w:sz w:val="24"/>
          <w:szCs w:val="24"/>
        </w:rPr>
      </w:pPr>
      <w:r w:rsidRPr="007D3693">
        <w:rPr>
          <w:rFonts w:ascii="Palatino Linotype" w:hAnsi="Palatino Linotype" w:cs="Arial"/>
          <w:sz w:val="24"/>
          <w:szCs w:val="24"/>
        </w:rPr>
        <w:t>Por t</w:t>
      </w:r>
      <w:r w:rsidR="0023607D" w:rsidRPr="007D3693">
        <w:rPr>
          <w:rFonts w:ascii="Palatino Linotype" w:hAnsi="Palatino Linotype" w:cs="Arial"/>
          <w:sz w:val="24"/>
          <w:szCs w:val="24"/>
        </w:rPr>
        <w:t>odo lo expuesto es que formulo</w:t>
      </w:r>
      <w:r w:rsidRPr="007D3693">
        <w:rPr>
          <w:rFonts w:ascii="Palatino Linotype" w:hAnsi="Palatino Linotype" w:cs="Arial"/>
          <w:sz w:val="24"/>
          <w:szCs w:val="24"/>
        </w:rPr>
        <w:t xml:space="preserve"> el presente voto </w:t>
      </w:r>
      <w:r w:rsidR="00403C56" w:rsidRPr="007D3693">
        <w:rPr>
          <w:rFonts w:ascii="Palatino Linotype" w:hAnsi="Palatino Linotype" w:cs="Arial"/>
          <w:sz w:val="24"/>
          <w:szCs w:val="24"/>
        </w:rPr>
        <w:t>disidente</w:t>
      </w:r>
      <w:r w:rsidRPr="007D3693">
        <w:rPr>
          <w:rFonts w:ascii="Palatino Linotype" w:hAnsi="Palatino Linotype" w:cs="Arial"/>
          <w:sz w:val="24"/>
          <w:szCs w:val="24"/>
        </w:rPr>
        <w:t xml:space="preserve">, en los términos </w:t>
      </w:r>
      <w:r w:rsidR="0023607D" w:rsidRPr="007D3693">
        <w:rPr>
          <w:rFonts w:ascii="Palatino Linotype" w:hAnsi="Palatino Linotype" w:cs="Arial"/>
          <w:sz w:val="24"/>
          <w:szCs w:val="24"/>
        </w:rPr>
        <w:t xml:space="preserve">precisados, </w:t>
      </w:r>
      <w:r w:rsidR="001A5CD9" w:rsidRPr="007D3693">
        <w:rPr>
          <w:rFonts w:ascii="Palatino Linotype" w:hAnsi="Palatino Linotype" w:cs="Arial"/>
          <w:sz w:val="24"/>
          <w:szCs w:val="24"/>
        </w:rPr>
        <w:t>considerando</w:t>
      </w:r>
      <w:r w:rsidR="0023607D" w:rsidRPr="007D3693">
        <w:rPr>
          <w:rFonts w:ascii="Palatino Linotype" w:hAnsi="Palatino Linotype" w:cs="Arial"/>
          <w:sz w:val="24"/>
          <w:szCs w:val="24"/>
        </w:rPr>
        <w:t xml:space="preserve"> que las </w:t>
      </w:r>
      <w:r w:rsidR="001A5CD9" w:rsidRPr="007D3693">
        <w:rPr>
          <w:rFonts w:ascii="Palatino Linotype" w:hAnsi="Palatino Linotype" w:cs="Arial"/>
          <w:sz w:val="24"/>
          <w:szCs w:val="24"/>
        </w:rPr>
        <w:t>reflexiones</w:t>
      </w:r>
      <w:r w:rsidR="0023607D" w:rsidRPr="007D3693">
        <w:rPr>
          <w:rFonts w:ascii="Palatino Linotype" w:hAnsi="Palatino Linotype" w:cs="Arial"/>
          <w:sz w:val="24"/>
          <w:szCs w:val="24"/>
        </w:rPr>
        <w:t xml:space="preserve"> aquí expuestas</w:t>
      </w:r>
      <w:r w:rsidRPr="007D3693">
        <w:rPr>
          <w:rFonts w:ascii="Palatino Linotype" w:hAnsi="Palatino Linotype" w:cs="Arial"/>
          <w:sz w:val="24"/>
          <w:szCs w:val="24"/>
        </w:rPr>
        <w:t xml:space="preserve"> hubieran resultado </w:t>
      </w:r>
      <w:r w:rsidR="0023607D" w:rsidRPr="007D3693">
        <w:rPr>
          <w:rFonts w:ascii="Palatino Linotype" w:hAnsi="Palatino Linotype" w:cs="Arial"/>
          <w:sz w:val="24"/>
          <w:szCs w:val="24"/>
        </w:rPr>
        <w:t>importantes</w:t>
      </w:r>
      <w:r w:rsidRPr="007D3693">
        <w:rPr>
          <w:rFonts w:ascii="Palatino Linotype" w:hAnsi="Palatino Linotype" w:cs="Arial"/>
          <w:sz w:val="24"/>
          <w:szCs w:val="24"/>
        </w:rPr>
        <w:t xml:space="preserve"> para </w:t>
      </w:r>
      <w:r w:rsidR="0023607D" w:rsidRPr="007D3693">
        <w:rPr>
          <w:rFonts w:ascii="Palatino Linotype" w:hAnsi="Palatino Linotype" w:cs="Arial"/>
          <w:sz w:val="24"/>
          <w:szCs w:val="24"/>
        </w:rPr>
        <w:t xml:space="preserve">ordenar </w:t>
      </w:r>
      <w:r w:rsidR="00BB24E2" w:rsidRPr="007D3693">
        <w:rPr>
          <w:rFonts w:ascii="Palatino Linotype" w:hAnsi="Palatino Linotype" w:cs="Arial"/>
          <w:sz w:val="24"/>
          <w:szCs w:val="24"/>
        </w:rPr>
        <w:t xml:space="preserve">observar una posible violación a derechos humanos de terceros. </w:t>
      </w:r>
    </w:p>
    <w:p w:rsidR="00646ABF" w:rsidRPr="007D3693" w:rsidRDefault="00646ABF" w:rsidP="006F7C5A">
      <w:pPr>
        <w:spacing w:before="240"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7D3693" w:rsidTr="006F7C5A">
        <w:trPr>
          <w:trHeight w:val="809"/>
          <w:jc w:val="center"/>
        </w:trPr>
        <w:tc>
          <w:tcPr>
            <w:tcW w:w="4396" w:type="dxa"/>
          </w:tcPr>
          <w:p w:rsidR="0023607D" w:rsidRPr="007D3693" w:rsidRDefault="0023607D" w:rsidP="00C75094">
            <w:pPr>
              <w:jc w:val="center"/>
              <w:rPr>
                <w:rFonts w:ascii="Palatino Linotype" w:hAnsi="Palatino Linotype"/>
                <w:b/>
                <w:sz w:val="24"/>
                <w:szCs w:val="24"/>
              </w:rPr>
            </w:pPr>
          </w:p>
          <w:p w:rsidR="0023607D" w:rsidRPr="007D3693" w:rsidRDefault="0023607D" w:rsidP="00C75094">
            <w:pPr>
              <w:jc w:val="center"/>
              <w:rPr>
                <w:rFonts w:ascii="Palatino Linotype" w:hAnsi="Palatino Linotype"/>
                <w:b/>
                <w:sz w:val="24"/>
                <w:szCs w:val="24"/>
              </w:rPr>
            </w:pPr>
          </w:p>
          <w:p w:rsidR="00EE44E1" w:rsidRPr="007D3693" w:rsidRDefault="00EE44E1" w:rsidP="00C75094">
            <w:pPr>
              <w:jc w:val="center"/>
              <w:rPr>
                <w:rFonts w:ascii="Palatino Linotype" w:hAnsi="Palatino Linotype"/>
                <w:b/>
                <w:sz w:val="24"/>
                <w:szCs w:val="24"/>
              </w:rPr>
            </w:pPr>
          </w:p>
          <w:p w:rsidR="0023607D" w:rsidRPr="007D3693" w:rsidRDefault="0023607D" w:rsidP="00C75094">
            <w:pPr>
              <w:jc w:val="center"/>
              <w:rPr>
                <w:rFonts w:ascii="Palatino Linotype" w:hAnsi="Palatino Linotype"/>
                <w:b/>
                <w:sz w:val="24"/>
                <w:szCs w:val="24"/>
              </w:rPr>
            </w:pPr>
            <w:r w:rsidRPr="007D3693">
              <w:rPr>
                <w:rFonts w:ascii="Palatino Linotype" w:hAnsi="Palatino Linotype"/>
                <w:b/>
                <w:sz w:val="24"/>
                <w:szCs w:val="24"/>
              </w:rPr>
              <w:t>Javier Martínez Cruz</w:t>
            </w:r>
          </w:p>
        </w:tc>
      </w:tr>
      <w:tr w:rsidR="0023607D" w:rsidRPr="007D3693" w:rsidTr="006F7C5A">
        <w:trPr>
          <w:trHeight w:val="319"/>
          <w:jc w:val="center"/>
        </w:trPr>
        <w:tc>
          <w:tcPr>
            <w:tcW w:w="4396" w:type="dxa"/>
          </w:tcPr>
          <w:p w:rsidR="0023607D" w:rsidRPr="007D3693" w:rsidRDefault="0023607D" w:rsidP="00C75094">
            <w:pPr>
              <w:jc w:val="center"/>
              <w:rPr>
                <w:rFonts w:ascii="Palatino Linotype" w:hAnsi="Palatino Linotype"/>
                <w:b/>
                <w:sz w:val="24"/>
                <w:szCs w:val="24"/>
              </w:rPr>
            </w:pPr>
            <w:r w:rsidRPr="007D3693">
              <w:rPr>
                <w:rFonts w:ascii="Palatino Linotype" w:hAnsi="Palatino Linotype"/>
                <w:b/>
                <w:sz w:val="24"/>
                <w:szCs w:val="24"/>
              </w:rPr>
              <w:t>Comisionado</w:t>
            </w:r>
          </w:p>
          <w:p w:rsidR="0023607D" w:rsidRPr="007D3693" w:rsidRDefault="0023607D" w:rsidP="00A2391F">
            <w:pPr>
              <w:jc w:val="center"/>
              <w:rPr>
                <w:rFonts w:ascii="Palatino Linotype" w:hAnsi="Palatino Linotype"/>
                <w:sz w:val="24"/>
                <w:szCs w:val="24"/>
              </w:rPr>
            </w:pPr>
          </w:p>
        </w:tc>
      </w:tr>
    </w:tbl>
    <w:p w:rsidR="00E95564" w:rsidRPr="007D3693" w:rsidRDefault="00E95564" w:rsidP="00646ABF">
      <w:pPr>
        <w:rPr>
          <w:rFonts w:ascii="Palatino Linotype" w:hAnsi="Palatino Linotype"/>
          <w:sz w:val="24"/>
          <w:szCs w:val="24"/>
        </w:rPr>
      </w:pPr>
    </w:p>
    <w:sectPr w:rsidR="00E95564" w:rsidRPr="007D3693" w:rsidSect="003D47A6">
      <w:headerReference w:type="even" r:id="rId11"/>
      <w:headerReference w:type="default" r:id="rId12"/>
      <w:footerReference w:type="default" r:id="rId13"/>
      <w:headerReference w:type="first" r:id="rId14"/>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818" w:rsidRDefault="00BB5818" w:rsidP="004E7F5E">
      <w:pPr>
        <w:spacing w:after="0" w:line="240" w:lineRule="auto"/>
      </w:pPr>
      <w:r>
        <w:separator/>
      </w:r>
    </w:p>
  </w:endnote>
  <w:endnote w:type="continuationSeparator" w:id="0">
    <w:p w:rsidR="00BB5818" w:rsidRDefault="00BB5818"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910073"/>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9E2328" w:rsidRPr="009E2328">
          <w:rPr>
            <w:noProof/>
            <w:lang w:val="es-ES"/>
          </w:rPr>
          <w:t>14</w:t>
        </w:r>
        <w:r>
          <w:fldChar w:fldCharType="end"/>
        </w:r>
        <w:r w:rsidR="00BB24E2">
          <w:t xml:space="preserve"> </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818" w:rsidRDefault="00BB5818" w:rsidP="004E7F5E">
      <w:pPr>
        <w:spacing w:after="0" w:line="240" w:lineRule="auto"/>
      </w:pPr>
      <w:r>
        <w:separator/>
      </w:r>
    </w:p>
  </w:footnote>
  <w:footnote w:type="continuationSeparator" w:id="0">
    <w:p w:rsidR="00BB5818" w:rsidRDefault="00BB5818"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BB58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BB581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903763">
      <w:rPr>
        <w:rFonts w:ascii="Palatino Linotype" w:hAnsi="Palatino Linotype"/>
        <w:b/>
      </w:rPr>
      <w:t>DISIDENTE</w:t>
    </w:r>
  </w:p>
  <w:p w:rsidR="00F16BC6" w:rsidRDefault="00C46947" w:rsidP="005604F4">
    <w:pPr>
      <w:pStyle w:val="Encabezado"/>
      <w:jc w:val="right"/>
    </w:pPr>
    <w:r w:rsidRPr="002A7C5D">
      <w:rPr>
        <w:rFonts w:ascii="Palatino Linotype" w:hAnsi="Palatino Linotype"/>
        <w:b/>
      </w:rPr>
      <w:t xml:space="preserve">RECURSO DE REVISIÓN </w:t>
    </w:r>
    <w:r w:rsidR="00863528" w:rsidRPr="00863528">
      <w:rPr>
        <w:rFonts w:ascii="Palatino Linotype" w:hAnsi="Palatino Linotype" w:cs="Arial"/>
        <w:b/>
        <w:bCs/>
        <w:sz w:val="24"/>
        <w:szCs w:val="24"/>
        <w:lang w:eastAsia="es-MX"/>
      </w:rPr>
      <w:t>00092/INFOEM/AD/RR/2019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BB58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DB1"/>
    <w:multiLevelType w:val="hybridMultilevel"/>
    <w:tmpl w:val="7FD6B2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3556FB"/>
    <w:multiLevelType w:val="hybridMultilevel"/>
    <w:tmpl w:val="33386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720C1D"/>
    <w:multiLevelType w:val="hybridMultilevel"/>
    <w:tmpl w:val="A7A4DBC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B7AF6"/>
    <w:multiLevelType w:val="hybridMultilevel"/>
    <w:tmpl w:val="BB147F4A"/>
    <w:lvl w:ilvl="0" w:tplc="DFD21D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A85480"/>
    <w:multiLevelType w:val="hybridMultilevel"/>
    <w:tmpl w:val="045A2E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FC47C5"/>
    <w:multiLevelType w:val="hybridMultilevel"/>
    <w:tmpl w:val="83C20DE8"/>
    <w:lvl w:ilvl="0" w:tplc="F632774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FD07C7"/>
    <w:multiLevelType w:val="hybridMultilevel"/>
    <w:tmpl w:val="3C0643D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E1213C"/>
    <w:multiLevelType w:val="hybridMultilevel"/>
    <w:tmpl w:val="4246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D964FC"/>
    <w:multiLevelType w:val="hybridMultilevel"/>
    <w:tmpl w:val="B9AEF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9"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4E4473"/>
    <w:multiLevelType w:val="hybridMultilevel"/>
    <w:tmpl w:val="25629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2"/>
  </w:num>
  <w:num w:numId="5">
    <w:abstractNumId w:val="17"/>
  </w:num>
  <w:num w:numId="6">
    <w:abstractNumId w:val="19"/>
  </w:num>
  <w:num w:numId="7">
    <w:abstractNumId w:val="22"/>
  </w:num>
  <w:num w:numId="8">
    <w:abstractNumId w:val="8"/>
  </w:num>
  <w:num w:numId="9">
    <w:abstractNumId w:val="18"/>
  </w:num>
  <w:num w:numId="10">
    <w:abstractNumId w:val="16"/>
  </w:num>
  <w:num w:numId="11">
    <w:abstractNumId w:val="21"/>
  </w:num>
  <w:num w:numId="12">
    <w:abstractNumId w:val="15"/>
  </w:num>
  <w:num w:numId="13">
    <w:abstractNumId w:val="14"/>
  </w:num>
  <w:num w:numId="14">
    <w:abstractNumId w:val="6"/>
  </w:num>
  <w:num w:numId="15">
    <w:abstractNumId w:val="0"/>
  </w:num>
  <w:num w:numId="16">
    <w:abstractNumId w:val="1"/>
  </w:num>
  <w:num w:numId="17">
    <w:abstractNumId w:val="4"/>
  </w:num>
  <w:num w:numId="18">
    <w:abstractNumId w:val="11"/>
  </w:num>
  <w:num w:numId="19">
    <w:abstractNumId w:val="10"/>
  </w:num>
  <w:num w:numId="20">
    <w:abstractNumId w:val="13"/>
  </w:num>
  <w:num w:numId="21">
    <w:abstractNumId w:val="2"/>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4C47"/>
    <w:rsid w:val="000060D4"/>
    <w:rsid w:val="000116E0"/>
    <w:rsid w:val="00011C09"/>
    <w:rsid w:val="000157D6"/>
    <w:rsid w:val="00017E18"/>
    <w:rsid w:val="00021FAC"/>
    <w:rsid w:val="00022600"/>
    <w:rsid w:val="000251C8"/>
    <w:rsid w:val="00025768"/>
    <w:rsid w:val="00027495"/>
    <w:rsid w:val="00031C45"/>
    <w:rsid w:val="000322F5"/>
    <w:rsid w:val="00034A90"/>
    <w:rsid w:val="000352DD"/>
    <w:rsid w:val="00037035"/>
    <w:rsid w:val="00043560"/>
    <w:rsid w:val="00045F43"/>
    <w:rsid w:val="00054E1E"/>
    <w:rsid w:val="00055383"/>
    <w:rsid w:val="000556A8"/>
    <w:rsid w:val="00056A42"/>
    <w:rsid w:val="00057D96"/>
    <w:rsid w:val="00066649"/>
    <w:rsid w:val="00067681"/>
    <w:rsid w:val="000718C0"/>
    <w:rsid w:val="000724A4"/>
    <w:rsid w:val="00072D98"/>
    <w:rsid w:val="000742E3"/>
    <w:rsid w:val="00077198"/>
    <w:rsid w:val="00077EBA"/>
    <w:rsid w:val="00081AFF"/>
    <w:rsid w:val="00081C48"/>
    <w:rsid w:val="000876A2"/>
    <w:rsid w:val="00087FB7"/>
    <w:rsid w:val="00090025"/>
    <w:rsid w:val="000919AF"/>
    <w:rsid w:val="0009246D"/>
    <w:rsid w:val="000937E7"/>
    <w:rsid w:val="00096010"/>
    <w:rsid w:val="00096D99"/>
    <w:rsid w:val="000A0AC6"/>
    <w:rsid w:val="000A0EDF"/>
    <w:rsid w:val="000A3419"/>
    <w:rsid w:val="000A42B1"/>
    <w:rsid w:val="000A460A"/>
    <w:rsid w:val="000B106B"/>
    <w:rsid w:val="000C31DE"/>
    <w:rsid w:val="000C390D"/>
    <w:rsid w:val="000C56D0"/>
    <w:rsid w:val="000C5730"/>
    <w:rsid w:val="000D14F0"/>
    <w:rsid w:val="000D3D02"/>
    <w:rsid w:val="000E07A9"/>
    <w:rsid w:val="000E4FD5"/>
    <w:rsid w:val="000E6F9C"/>
    <w:rsid w:val="000E743E"/>
    <w:rsid w:val="000F17E0"/>
    <w:rsid w:val="000F189B"/>
    <w:rsid w:val="000F1BAF"/>
    <w:rsid w:val="000F31C1"/>
    <w:rsid w:val="000F39DD"/>
    <w:rsid w:val="000F7639"/>
    <w:rsid w:val="0010020A"/>
    <w:rsid w:val="00101DBA"/>
    <w:rsid w:val="00104D96"/>
    <w:rsid w:val="00105A5D"/>
    <w:rsid w:val="00107347"/>
    <w:rsid w:val="00107EC2"/>
    <w:rsid w:val="001111B0"/>
    <w:rsid w:val="00112C9B"/>
    <w:rsid w:val="00116761"/>
    <w:rsid w:val="00116AE2"/>
    <w:rsid w:val="00116B65"/>
    <w:rsid w:val="00120A74"/>
    <w:rsid w:val="0012242E"/>
    <w:rsid w:val="00122651"/>
    <w:rsid w:val="00130958"/>
    <w:rsid w:val="00130E1D"/>
    <w:rsid w:val="00132719"/>
    <w:rsid w:val="00132972"/>
    <w:rsid w:val="0013341A"/>
    <w:rsid w:val="00136EDB"/>
    <w:rsid w:val="00140EA7"/>
    <w:rsid w:val="00144C74"/>
    <w:rsid w:val="00145434"/>
    <w:rsid w:val="00146F5D"/>
    <w:rsid w:val="001474AE"/>
    <w:rsid w:val="001509E6"/>
    <w:rsid w:val="00151E1A"/>
    <w:rsid w:val="0015327E"/>
    <w:rsid w:val="00153946"/>
    <w:rsid w:val="001569F0"/>
    <w:rsid w:val="001633C9"/>
    <w:rsid w:val="001641CD"/>
    <w:rsid w:val="001674D2"/>
    <w:rsid w:val="00170CAC"/>
    <w:rsid w:val="00170F88"/>
    <w:rsid w:val="001723DC"/>
    <w:rsid w:val="00173BBE"/>
    <w:rsid w:val="001749BF"/>
    <w:rsid w:val="0017514A"/>
    <w:rsid w:val="00182157"/>
    <w:rsid w:val="00184959"/>
    <w:rsid w:val="00185F02"/>
    <w:rsid w:val="00194E9A"/>
    <w:rsid w:val="0019565B"/>
    <w:rsid w:val="001960A6"/>
    <w:rsid w:val="00197702"/>
    <w:rsid w:val="001A1018"/>
    <w:rsid w:val="001A200B"/>
    <w:rsid w:val="001A2486"/>
    <w:rsid w:val="001A4C6F"/>
    <w:rsid w:val="001A5CD9"/>
    <w:rsid w:val="001B0B28"/>
    <w:rsid w:val="001B2E18"/>
    <w:rsid w:val="001B435E"/>
    <w:rsid w:val="001B4ED5"/>
    <w:rsid w:val="001C223A"/>
    <w:rsid w:val="001C5252"/>
    <w:rsid w:val="001C58A6"/>
    <w:rsid w:val="001D002F"/>
    <w:rsid w:val="001D015C"/>
    <w:rsid w:val="001D3387"/>
    <w:rsid w:val="001D3685"/>
    <w:rsid w:val="001D3FD4"/>
    <w:rsid w:val="001D425C"/>
    <w:rsid w:val="001D4E73"/>
    <w:rsid w:val="001D54E8"/>
    <w:rsid w:val="001D5A99"/>
    <w:rsid w:val="001D63A6"/>
    <w:rsid w:val="001E17E8"/>
    <w:rsid w:val="001E2A18"/>
    <w:rsid w:val="001E31F8"/>
    <w:rsid w:val="001E33C5"/>
    <w:rsid w:val="001E3F78"/>
    <w:rsid w:val="001E67A8"/>
    <w:rsid w:val="001E76E7"/>
    <w:rsid w:val="001F0194"/>
    <w:rsid w:val="00200132"/>
    <w:rsid w:val="00201535"/>
    <w:rsid w:val="00203D6F"/>
    <w:rsid w:val="0020670F"/>
    <w:rsid w:val="00210753"/>
    <w:rsid w:val="00214F41"/>
    <w:rsid w:val="002156F4"/>
    <w:rsid w:val="00222983"/>
    <w:rsid w:val="00222E6F"/>
    <w:rsid w:val="002230FB"/>
    <w:rsid w:val="002261E8"/>
    <w:rsid w:val="00230D57"/>
    <w:rsid w:val="00232C74"/>
    <w:rsid w:val="00232C86"/>
    <w:rsid w:val="002337F8"/>
    <w:rsid w:val="00233F68"/>
    <w:rsid w:val="002350CD"/>
    <w:rsid w:val="00235E34"/>
    <w:rsid w:val="0023607D"/>
    <w:rsid w:val="0023687B"/>
    <w:rsid w:val="002412C3"/>
    <w:rsid w:val="00251554"/>
    <w:rsid w:val="00251938"/>
    <w:rsid w:val="00251A53"/>
    <w:rsid w:val="00253517"/>
    <w:rsid w:val="002535ED"/>
    <w:rsid w:val="002537DC"/>
    <w:rsid w:val="00253FFE"/>
    <w:rsid w:val="00255475"/>
    <w:rsid w:val="00255F64"/>
    <w:rsid w:val="00256C42"/>
    <w:rsid w:val="00257CFE"/>
    <w:rsid w:val="00261762"/>
    <w:rsid w:val="00261B1F"/>
    <w:rsid w:val="0026218D"/>
    <w:rsid w:val="002659B1"/>
    <w:rsid w:val="00266B16"/>
    <w:rsid w:val="002702A4"/>
    <w:rsid w:val="00270C99"/>
    <w:rsid w:val="00273BE0"/>
    <w:rsid w:val="002768A4"/>
    <w:rsid w:val="0027781D"/>
    <w:rsid w:val="0027797A"/>
    <w:rsid w:val="00282114"/>
    <w:rsid w:val="0028230C"/>
    <w:rsid w:val="00282D10"/>
    <w:rsid w:val="002854AF"/>
    <w:rsid w:val="00286D17"/>
    <w:rsid w:val="0028787D"/>
    <w:rsid w:val="00290395"/>
    <w:rsid w:val="00293F5C"/>
    <w:rsid w:val="00295B3B"/>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935"/>
    <w:rsid w:val="002C7A5B"/>
    <w:rsid w:val="002D07A7"/>
    <w:rsid w:val="002D30A8"/>
    <w:rsid w:val="002E0C12"/>
    <w:rsid w:val="002E2D29"/>
    <w:rsid w:val="002E44ED"/>
    <w:rsid w:val="002E4C3F"/>
    <w:rsid w:val="002F3106"/>
    <w:rsid w:val="002F5A16"/>
    <w:rsid w:val="00301664"/>
    <w:rsid w:val="00306340"/>
    <w:rsid w:val="00307366"/>
    <w:rsid w:val="0031071E"/>
    <w:rsid w:val="00315D1F"/>
    <w:rsid w:val="003201EE"/>
    <w:rsid w:val="00320938"/>
    <w:rsid w:val="00321CF3"/>
    <w:rsid w:val="003449BA"/>
    <w:rsid w:val="00347B55"/>
    <w:rsid w:val="00350062"/>
    <w:rsid w:val="00353B12"/>
    <w:rsid w:val="003633CF"/>
    <w:rsid w:val="00363719"/>
    <w:rsid w:val="003655A3"/>
    <w:rsid w:val="003670FA"/>
    <w:rsid w:val="00373349"/>
    <w:rsid w:val="0037354C"/>
    <w:rsid w:val="00375858"/>
    <w:rsid w:val="00381C9C"/>
    <w:rsid w:val="003826E3"/>
    <w:rsid w:val="00385516"/>
    <w:rsid w:val="00386D79"/>
    <w:rsid w:val="003919CE"/>
    <w:rsid w:val="00392E5E"/>
    <w:rsid w:val="003959D4"/>
    <w:rsid w:val="00395EFC"/>
    <w:rsid w:val="00397215"/>
    <w:rsid w:val="003972A2"/>
    <w:rsid w:val="003A2F7F"/>
    <w:rsid w:val="003A3C8A"/>
    <w:rsid w:val="003B1072"/>
    <w:rsid w:val="003B3070"/>
    <w:rsid w:val="003B36D2"/>
    <w:rsid w:val="003B3C36"/>
    <w:rsid w:val="003B5016"/>
    <w:rsid w:val="003B5FBF"/>
    <w:rsid w:val="003B7BE5"/>
    <w:rsid w:val="003C0F45"/>
    <w:rsid w:val="003C1430"/>
    <w:rsid w:val="003C2717"/>
    <w:rsid w:val="003C55B3"/>
    <w:rsid w:val="003C5FDD"/>
    <w:rsid w:val="003D0592"/>
    <w:rsid w:val="003D1042"/>
    <w:rsid w:val="003D235F"/>
    <w:rsid w:val="003D2D47"/>
    <w:rsid w:val="003D3DF0"/>
    <w:rsid w:val="003D47A6"/>
    <w:rsid w:val="003D7E1D"/>
    <w:rsid w:val="003E0390"/>
    <w:rsid w:val="003E1C90"/>
    <w:rsid w:val="003E22D1"/>
    <w:rsid w:val="003E511E"/>
    <w:rsid w:val="003E7622"/>
    <w:rsid w:val="003E7FD7"/>
    <w:rsid w:val="003F3A59"/>
    <w:rsid w:val="003F54EA"/>
    <w:rsid w:val="003F6045"/>
    <w:rsid w:val="00403C56"/>
    <w:rsid w:val="00404AC4"/>
    <w:rsid w:val="00404F09"/>
    <w:rsid w:val="0041214A"/>
    <w:rsid w:val="004138DF"/>
    <w:rsid w:val="00415574"/>
    <w:rsid w:val="00415C72"/>
    <w:rsid w:val="0041600F"/>
    <w:rsid w:val="00416635"/>
    <w:rsid w:val="00421827"/>
    <w:rsid w:val="00423F5C"/>
    <w:rsid w:val="004265F4"/>
    <w:rsid w:val="00427908"/>
    <w:rsid w:val="0043077C"/>
    <w:rsid w:val="00432641"/>
    <w:rsid w:val="004332ED"/>
    <w:rsid w:val="0043498E"/>
    <w:rsid w:val="00435C2D"/>
    <w:rsid w:val="0044097B"/>
    <w:rsid w:val="004410A9"/>
    <w:rsid w:val="004440C2"/>
    <w:rsid w:val="00446A1B"/>
    <w:rsid w:val="00446B6C"/>
    <w:rsid w:val="004525B0"/>
    <w:rsid w:val="00452DD8"/>
    <w:rsid w:val="00454588"/>
    <w:rsid w:val="004607C5"/>
    <w:rsid w:val="00466955"/>
    <w:rsid w:val="00466A2B"/>
    <w:rsid w:val="00466B45"/>
    <w:rsid w:val="00467261"/>
    <w:rsid w:val="00473E92"/>
    <w:rsid w:val="0047565B"/>
    <w:rsid w:val="00476ED1"/>
    <w:rsid w:val="00477A5A"/>
    <w:rsid w:val="004809B9"/>
    <w:rsid w:val="00482566"/>
    <w:rsid w:val="00483259"/>
    <w:rsid w:val="00483298"/>
    <w:rsid w:val="00483FF7"/>
    <w:rsid w:val="00484E40"/>
    <w:rsid w:val="00486781"/>
    <w:rsid w:val="00486DE4"/>
    <w:rsid w:val="00491129"/>
    <w:rsid w:val="0049314A"/>
    <w:rsid w:val="004A028F"/>
    <w:rsid w:val="004A0E49"/>
    <w:rsid w:val="004A1AA8"/>
    <w:rsid w:val="004A1F2E"/>
    <w:rsid w:val="004A39EA"/>
    <w:rsid w:val="004A41E2"/>
    <w:rsid w:val="004A4E01"/>
    <w:rsid w:val="004B4ECC"/>
    <w:rsid w:val="004B5954"/>
    <w:rsid w:val="004B63AD"/>
    <w:rsid w:val="004B7785"/>
    <w:rsid w:val="004B7892"/>
    <w:rsid w:val="004C1C0C"/>
    <w:rsid w:val="004C381C"/>
    <w:rsid w:val="004C51A1"/>
    <w:rsid w:val="004C5C58"/>
    <w:rsid w:val="004C7553"/>
    <w:rsid w:val="004C7C6B"/>
    <w:rsid w:val="004D12D8"/>
    <w:rsid w:val="004D1908"/>
    <w:rsid w:val="004D238D"/>
    <w:rsid w:val="004D3264"/>
    <w:rsid w:val="004D5453"/>
    <w:rsid w:val="004D7269"/>
    <w:rsid w:val="004E114C"/>
    <w:rsid w:val="004E1586"/>
    <w:rsid w:val="004E2DA5"/>
    <w:rsid w:val="004E34A3"/>
    <w:rsid w:val="004E6098"/>
    <w:rsid w:val="004E7F5E"/>
    <w:rsid w:val="004F252E"/>
    <w:rsid w:val="004F3187"/>
    <w:rsid w:val="004F6367"/>
    <w:rsid w:val="004F68DC"/>
    <w:rsid w:val="004F6AF1"/>
    <w:rsid w:val="00504707"/>
    <w:rsid w:val="00506FCB"/>
    <w:rsid w:val="00514DB3"/>
    <w:rsid w:val="00515C4C"/>
    <w:rsid w:val="0051787F"/>
    <w:rsid w:val="00520069"/>
    <w:rsid w:val="0052147B"/>
    <w:rsid w:val="0052194C"/>
    <w:rsid w:val="00521A0F"/>
    <w:rsid w:val="00523FF3"/>
    <w:rsid w:val="005243AD"/>
    <w:rsid w:val="00527157"/>
    <w:rsid w:val="005309F8"/>
    <w:rsid w:val="00530B1C"/>
    <w:rsid w:val="0053498D"/>
    <w:rsid w:val="0054397E"/>
    <w:rsid w:val="00543EEF"/>
    <w:rsid w:val="005449A2"/>
    <w:rsid w:val="005459A2"/>
    <w:rsid w:val="00547484"/>
    <w:rsid w:val="00551748"/>
    <w:rsid w:val="00552D85"/>
    <w:rsid w:val="00553818"/>
    <w:rsid w:val="00554693"/>
    <w:rsid w:val="005548A6"/>
    <w:rsid w:val="00554DCD"/>
    <w:rsid w:val="00556CA8"/>
    <w:rsid w:val="005604F4"/>
    <w:rsid w:val="0056315B"/>
    <w:rsid w:val="00564F2E"/>
    <w:rsid w:val="00575A23"/>
    <w:rsid w:val="005765BC"/>
    <w:rsid w:val="005776B7"/>
    <w:rsid w:val="00581E6C"/>
    <w:rsid w:val="00582061"/>
    <w:rsid w:val="005830E3"/>
    <w:rsid w:val="00590084"/>
    <w:rsid w:val="005906A0"/>
    <w:rsid w:val="00591560"/>
    <w:rsid w:val="00592636"/>
    <w:rsid w:val="00592B1A"/>
    <w:rsid w:val="0059772D"/>
    <w:rsid w:val="00597AF1"/>
    <w:rsid w:val="005A18A1"/>
    <w:rsid w:val="005A33FA"/>
    <w:rsid w:val="005A3C30"/>
    <w:rsid w:val="005A60F4"/>
    <w:rsid w:val="005A684B"/>
    <w:rsid w:val="005A73D5"/>
    <w:rsid w:val="005B05C7"/>
    <w:rsid w:val="005B24E5"/>
    <w:rsid w:val="005B3410"/>
    <w:rsid w:val="005B3EBA"/>
    <w:rsid w:val="005B66FD"/>
    <w:rsid w:val="005B6B4C"/>
    <w:rsid w:val="005B6F86"/>
    <w:rsid w:val="005B71F8"/>
    <w:rsid w:val="005C0691"/>
    <w:rsid w:val="005C08E0"/>
    <w:rsid w:val="005C315A"/>
    <w:rsid w:val="005C5788"/>
    <w:rsid w:val="005C7FFC"/>
    <w:rsid w:val="005D571A"/>
    <w:rsid w:val="005D7711"/>
    <w:rsid w:val="005E06BC"/>
    <w:rsid w:val="005E3752"/>
    <w:rsid w:val="005E385C"/>
    <w:rsid w:val="005E440C"/>
    <w:rsid w:val="005E61BD"/>
    <w:rsid w:val="005E7968"/>
    <w:rsid w:val="005E7E37"/>
    <w:rsid w:val="005F048A"/>
    <w:rsid w:val="005F39F9"/>
    <w:rsid w:val="005F6A08"/>
    <w:rsid w:val="005F6A0E"/>
    <w:rsid w:val="005F7076"/>
    <w:rsid w:val="00601212"/>
    <w:rsid w:val="00603C38"/>
    <w:rsid w:val="00606DDB"/>
    <w:rsid w:val="00611681"/>
    <w:rsid w:val="00611952"/>
    <w:rsid w:val="00611DF2"/>
    <w:rsid w:val="00616274"/>
    <w:rsid w:val="0062043B"/>
    <w:rsid w:val="00620E67"/>
    <w:rsid w:val="00621C35"/>
    <w:rsid w:val="00622D24"/>
    <w:rsid w:val="006237EF"/>
    <w:rsid w:val="00627BF2"/>
    <w:rsid w:val="00632045"/>
    <w:rsid w:val="0063295E"/>
    <w:rsid w:val="00635658"/>
    <w:rsid w:val="006406DD"/>
    <w:rsid w:val="0064261A"/>
    <w:rsid w:val="00646ABF"/>
    <w:rsid w:val="006510AA"/>
    <w:rsid w:val="0065199A"/>
    <w:rsid w:val="00655898"/>
    <w:rsid w:val="00656A53"/>
    <w:rsid w:val="00660074"/>
    <w:rsid w:val="006628B8"/>
    <w:rsid w:val="00662BB1"/>
    <w:rsid w:val="006645F8"/>
    <w:rsid w:val="00667B95"/>
    <w:rsid w:val="00671D19"/>
    <w:rsid w:val="006736DB"/>
    <w:rsid w:val="006749BC"/>
    <w:rsid w:val="00676933"/>
    <w:rsid w:val="0068108C"/>
    <w:rsid w:val="00682BB3"/>
    <w:rsid w:val="00683514"/>
    <w:rsid w:val="00683CCD"/>
    <w:rsid w:val="0068651D"/>
    <w:rsid w:val="00687FF3"/>
    <w:rsid w:val="006908C3"/>
    <w:rsid w:val="00693F7C"/>
    <w:rsid w:val="00694784"/>
    <w:rsid w:val="006953FF"/>
    <w:rsid w:val="006A01D8"/>
    <w:rsid w:val="006A3448"/>
    <w:rsid w:val="006A58FB"/>
    <w:rsid w:val="006B0468"/>
    <w:rsid w:val="006B29C2"/>
    <w:rsid w:val="006B3E1F"/>
    <w:rsid w:val="006B5E8A"/>
    <w:rsid w:val="006B5F1F"/>
    <w:rsid w:val="006B648F"/>
    <w:rsid w:val="006C3250"/>
    <w:rsid w:val="006C55A2"/>
    <w:rsid w:val="006D2799"/>
    <w:rsid w:val="006E0AEC"/>
    <w:rsid w:val="006E2A9B"/>
    <w:rsid w:val="006E302C"/>
    <w:rsid w:val="006E3A08"/>
    <w:rsid w:val="006E6222"/>
    <w:rsid w:val="006F616D"/>
    <w:rsid w:val="006F7C5A"/>
    <w:rsid w:val="007006D3"/>
    <w:rsid w:val="00702EC9"/>
    <w:rsid w:val="007055BB"/>
    <w:rsid w:val="00705865"/>
    <w:rsid w:val="0070743B"/>
    <w:rsid w:val="00707FBC"/>
    <w:rsid w:val="00711D0C"/>
    <w:rsid w:val="00715E8F"/>
    <w:rsid w:val="007161AC"/>
    <w:rsid w:val="007161D0"/>
    <w:rsid w:val="00720D0B"/>
    <w:rsid w:val="00724ABC"/>
    <w:rsid w:val="007267E7"/>
    <w:rsid w:val="00733B37"/>
    <w:rsid w:val="00733C88"/>
    <w:rsid w:val="00735F99"/>
    <w:rsid w:val="0074016E"/>
    <w:rsid w:val="007409FD"/>
    <w:rsid w:val="007411E3"/>
    <w:rsid w:val="00742921"/>
    <w:rsid w:val="0074485A"/>
    <w:rsid w:val="00745B7B"/>
    <w:rsid w:val="00751804"/>
    <w:rsid w:val="00753328"/>
    <w:rsid w:val="007551CB"/>
    <w:rsid w:val="007622A3"/>
    <w:rsid w:val="00762615"/>
    <w:rsid w:val="00763242"/>
    <w:rsid w:val="00764273"/>
    <w:rsid w:val="00767776"/>
    <w:rsid w:val="00767DBE"/>
    <w:rsid w:val="00771214"/>
    <w:rsid w:val="0077170A"/>
    <w:rsid w:val="00771984"/>
    <w:rsid w:val="00773FC0"/>
    <w:rsid w:val="00784989"/>
    <w:rsid w:val="007850CB"/>
    <w:rsid w:val="00790E57"/>
    <w:rsid w:val="00792896"/>
    <w:rsid w:val="00794B8C"/>
    <w:rsid w:val="007966CA"/>
    <w:rsid w:val="007A0AFB"/>
    <w:rsid w:val="007A18E4"/>
    <w:rsid w:val="007A5363"/>
    <w:rsid w:val="007A5FB6"/>
    <w:rsid w:val="007A70F2"/>
    <w:rsid w:val="007A7BF6"/>
    <w:rsid w:val="007B10BA"/>
    <w:rsid w:val="007B19F1"/>
    <w:rsid w:val="007B41CD"/>
    <w:rsid w:val="007B69EA"/>
    <w:rsid w:val="007B7B3B"/>
    <w:rsid w:val="007C6FF1"/>
    <w:rsid w:val="007D2C55"/>
    <w:rsid w:val="007D3693"/>
    <w:rsid w:val="007D667D"/>
    <w:rsid w:val="007D6E6B"/>
    <w:rsid w:val="007D74E6"/>
    <w:rsid w:val="007E0D46"/>
    <w:rsid w:val="007E3030"/>
    <w:rsid w:val="007F086B"/>
    <w:rsid w:val="007F3483"/>
    <w:rsid w:val="007F3613"/>
    <w:rsid w:val="007F496E"/>
    <w:rsid w:val="007F4A64"/>
    <w:rsid w:val="007F7D32"/>
    <w:rsid w:val="008000C6"/>
    <w:rsid w:val="00800105"/>
    <w:rsid w:val="0080079A"/>
    <w:rsid w:val="00801167"/>
    <w:rsid w:val="0080231B"/>
    <w:rsid w:val="00802B9C"/>
    <w:rsid w:val="00804413"/>
    <w:rsid w:val="00805C01"/>
    <w:rsid w:val="00807C04"/>
    <w:rsid w:val="00810B26"/>
    <w:rsid w:val="00811478"/>
    <w:rsid w:val="00812D63"/>
    <w:rsid w:val="00813331"/>
    <w:rsid w:val="0081376E"/>
    <w:rsid w:val="00822844"/>
    <w:rsid w:val="008262F7"/>
    <w:rsid w:val="00827823"/>
    <w:rsid w:val="00827F75"/>
    <w:rsid w:val="00832161"/>
    <w:rsid w:val="00832E5F"/>
    <w:rsid w:val="00835727"/>
    <w:rsid w:val="008516F2"/>
    <w:rsid w:val="00852329"/>
    <w:rsid w:val="0085292D"/>
    <w:rsid w:val="00854AC4"/>
    <w:rsid w:val="00857730"/>
    <w:rsid w:val="00863528"/>
    <w:rsid w:val="00863B81"/>
    <w:rsid w:val="00866BB2"/>
    <w:rsid w:val="00870442"/>
    <w:rsid w:val="008729B1"/>
    <w:rsid w:val="00872FD1"/>
    <w:rsid w:val="008800B0"/>
    <w:rsid w:val="0088116F"/>
    <w:rsid w:val="0088188F"/>
    <w:rsid w:val="00882092"/>
    <w:rsid w:val="008830F8"/>
    <w:rsid w:val="00883EC1"/>
    <w:rsid w:val="00885471"/>
    <w:rsid w:val="0088782E"/>
    <w:rsid w:val="008942E2"/>
    <w:rsid w:val="00897ED1"/>
    <w:rsid w:val="008A144C"/>
    <w:rsid w:val="008A1AB0"/>
    <w:rsid w:val="008A2DF5"/>
    <w:rsid w:val="008A3397"/>
    <w:rsid w:val="008A3A5D"/>
    <w:rsid w:val="008A627A"/>
    <w:rsid w:val="008A6BBD"/>
    <w:rsid w:val="008B04B3"/>
    <w:rsid w:val="008B2205"/>
    <w:rsid w:val="008B402E"/>
    <w:rsid w:val="008B5CF6"/>
    <w:rsid w:val="008C4861"/>
    <w:rsid w:val="008C4FC0"/>
    <w:rsid w:val="008D17AF"/>
    <w:rsid w:val="008D4C93"/>
    <w:rsid w:val="008D6D23"/>
    <w:rsid w:val="008E228A"/>
    <w:rsid w:val="008E425D"/>
    <w:rsid w:val="008E6760"/>
    <w:rsid w:val="008F1B97"/>
    <w:rsid w:val="008F3EE4"/>
    <w:rsid w:val="008F56F1"/>
    <w:rsid w:val="008F5E82"/>
    <w:rsid w:val="008F726A"/>
    <w:rsid w:val="0090073F"/>
    <w:rsid w:val="00903763"/>
    <w:rsid w:val="00904807"/>
    <w:rsid w:val="0090690F"/>
    <w:rsid w:val="00906932"/>
    <w:rsid w:val="00906B76"/>
    <w:rsid w:val="00910B6C"/>
    <w:rsid w:val="009130B9"/>
    <w:rsid w:val="00914617"/>
    <w:rsid w:val="0091757C"/>
    <w:rsid w:val="00917FB4"/>
    <w:rsid w:val="00921880"/>
    <w:rsid w:val="0092406A"/>
    <w:rsid w:val="00924E3B"/>
    <w:rsid w:val="009273D1"/>
    <w:rsid w:val="00931E83"/>
    <w:rsid w:val="00934B2E"/>
    <w:rsid w:val="009366FD"/>
    <w:rsid w:val="009376B6"/>
    <w:rsid w:val="00940D69"/>
    <w:rsid w:val="00942B51"/>
    <w:rsid w:val="00947B82"/>
    <w:rsid w:val="0095102A"/>
    <w:rsid w:val="00951C7B"/>
    <w:rsid w:val="00952E1A"/>
    <w:rsid w:val="0095511E"/>
    <w:rsid w:val="00955693"/>
    <w:rsid w:val="009575B3"/>
    <w:rsid w:val="00960185"/>
    <w:rsid w:val="00960430"/>
    <w:rsid w:val="00961D8C"/>
    <w:rsid w:val="00964280"/>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4C26"/>
    <w:rsid w:val="00995AED"/>
    <w:rsid w:val="00995C22"/>
    <w:rsid w:val="00996283"/>
    <w:rsid w:val="00996743"/>
    <w:rsid w:val="009A08F6"/>
    <w:rsid w:val="009A4D6E"/>
    <w:rsid w:val="009B0366"/>
    <w:rsid w:val="009B298A"/>
    <w:rsid w:val="009B347D"/>
    <w:rsid w:val="009B54F0"/>
    <w:rsid w:val="009B5C84"/>
    <w:rsid w:val="009B6512"/>
    <w:rsid w:val="009B7151"/>
    <w:rsid w:val="009B7357"/>
    <w:rsid w:val="009C20E4"/>
    <w:rsid w:val="009C36FC"/>
    <w:rsid w:val="009C7044"/>
    <w:rsid w:val="009D4FB8"/>
    <w:rsid w:val="009E18B9"/>
    <w:rsid w:val="009E2328"/>
    <w:rsid w:val="009E3486"/>
    <w:rsid w:val="009E5C1B"/>
    <w:rsid w:val="009E65E0"/>
    <w:rsid w:val="009F50E8"/>
    <w:rsid w:val="009F6652"/>
    <w:rsid w:val="009F7246"/>
    <w:rsid w:val="009F7505"/>
    <w:rsid w:val="009F7D1D"/>
    <w:rsid w:val="00A0047B"/>
    <w:rsid w:val="00A05ED2"/>
    <w:rsid w:val="00A06331"/>
    <w:rsid w:val="00A06DA1"/>
    <w:rsid w:val="00A14F6A"/>
    <w:rsid w:val="00A15929"/>
    <w:rsid w:val="00A21DC0"/>
    <w:rsid w:val="00A21F6F"/>
    <w:rsid w:val="00A2391F"/>
    <w:rsid w:val="00A25334"/>
    <w:rsid w:val="00A261B2"/>
    <w:rsid w:val="00A26654"/>
    <w:rsid w:val="00A3259E"/>
    <w:rsid w:val="00A33A99"/>
    <w:rsid w:val="00A40ADA"/>
    <w:rsid w:val="00A41BDF"/>
    <w:rsid w:val="00A43ECC"/>
    <w:rsid w:val="00A45529"/>
    <w:rsid w:val="00A46651"/>
    <w:rsid w:val="00A467EF"/>
    <w:rsid w:val="00A46D20"/>
    <w:rsid w:val="00A51D8F"/>
    <w:rsid w:val="00A526DC"/>
    <w:rsid w:val="00A52B9A"/>
    <w:rsid w:val="00A53050"/>
    <w:rsid w:val="00A5446E"/>
    <w:rsid w:val="00A54674"/>
    <w:rsid w:val="00A5507A"/>
    <w:rsid w:val="00A57FB4"/>
    <w:rsid w:val="00A6000E"/>
    <w:rsid w:val="00A60286"/>
    <w:rsid w:val="00A6156A"/>
    <w:rsid w:val="00A61987"/>
    <w:rsid w:val="00A66C66"/>
    <w:rsid w:val="00A673AF"/>
    <w:rsid w:val="00A71079"/>
    <w:rsid w:val="00A7286D"/>
    <w:rsid w:val="00A73DEC"/>
    <w:rsid w:val="00A7763C"/>
    <w:rsid w:val="00A8359B"/>
    <w:rsid w:val="00A86EE1"/>
    <w:rsid w:val="00A879C1"/>
    <w:rsid w:val="00A97F30"/>
    <w:rsid w:val="00AA056C"/>
    <w:rsid w:val="00AA1890"/>
    <w:rsid w:val="00AA3165"/>
    <w:rsid w:val="00AA34AB"/>
    <w:rsid w:val="00AA64AC"/>
    <w:rsid w:val="00AA6B53"/>
    <w:rsid w:val="00AA6D17"/>
    <w:rsid w:val="00AB30DA"/>
    <w:rsid w:val="00AB364D"/>
    <w:rsid w:val="00AB527C"/>
    <w:rsid w:val="00AC0C91"/>
    <w:rsid w:val="00AC5C7C"/>
    <w:rsid w:val="00AC664A"/>
    <w:rsid w:val="00AC678B"/>
    <w:rsid w:val="00AC6A7B"/>
    <w:rsid w:val="00AD0147"/>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2C19"/>
    <w:rsid w:val="00B54900"/>
    <w:rsid w:val="00B6655A"/>
    <w:rsid w:val="00B67A2C"/>
    <w:rsid w:val="00B7156C"/>
    <w:rsid w:val="00B72322"/>
    <w:rsid w:val="00B73549"/>
    <w:rsid w:val="00B736DB"/>
    <w:rsid w:val="00B74A73"/>
    <w:rsid w:val="00B75DE7"/>
    <w:rsid w:val="00B82157"/>
    <w:rsid w:val="00B83198"/>
    <w:rsid w:val="00B847E3"/>
    <w:rsid w:val="00B862E6"/>
    <w:rsid w:val="00B869C9"/>
    <w:rsid w:val="00B9138C"/>
    <w:rsid w:val="00BA0C02"/>
    <w:rsid w:val="00BA257B"/>
    <w:rsid w:val="00BA6D9D"/>
    <w:rsid w:val="00BB0848"/>
    <w:rsid w:val="00BB24E2"/>
    <w:rsid w:val="00BB5818"/>
    <w:rsid w:val="00BC1231"/>
    <w:rsid w:val="00BC2CA8"/>
    <w:rsid w:val="00BC425B"/>
    <w:rsid w:val="00BC6AC0"/>
    <w:rsid w:val="00BC7474"/>
    <w:rsid w:val="00BD40F9"/>
    <w:rsid w:val="00BE3097"/>
    <w:rsid w:val="00BE5589"/>
    <w:rsid w:val="00BE5877"/>
    <w:rsid w:val="00BF09AE"/>
    <w:rsid w:val="00BF39F9"/>
    <w:rsid w:val="00BF3ECA"/>
    <w:rsid w:val="00BF688C"/>
    <w:rsid w:val="00BF72ED"/>
    <w:rsid w:val="00BF7555"/>
    <w:rsid w:val="00C00387"/>
    <w:rsid w:val="00C02FC6"/>
    <w:rsid w:val="00C03B35"/>
    <w:rsid w:val="00C041F2"/>
    <w:rsid w:val="00C0482A"/>
    <w:rsid w:val="00C11889"/>
    <w:rsid w:val="00C13908"/>
    <w:rsid w:val="00C15485"/>
    <w:rsid w:val="00C17329"/>
    <w:rsid w:val="00C173DD"/>
    <w:rsid w:val="00C20262"/>
    <w:rsid w:val="00C2627D"/>
    <w:rsid w:val="00C26812"/>
    <w:rsid w:val="00C27441"/>
    <w:rsid w:val="00C32C4F"/>
    <w:rsid w:val="00C346EF"/>
    <w:rsid w:val="00C35BB2"/>
    <w:rsid w:val="00C4122B"/>
    <w:rsid w:val="00C42941"/>
    <w:rsid w:val="00C434EE"/>
    <w:rsid w:val="00C4614C"/>
    <w:rsid w:val="00C46947"/>
    <w:rsid w:val="00C511C3"/>
    <w:rsid w:val="00C517B2"/>
    <w:rsid w:val="00C51F7E"/>
    <w:rsid w:val="00C57E8F"/>
    <w:rsid w:val="00C57E99"/>
    <w:rsid w:val="00C60577"/>
    <w:rsid w:val="00C61253"/>
    <w:rsid w:val="00C615A3"/>
    <w:rsid w:val="00C61DA2"/>
    <w:rsid w:val="00C63640"/>
    <w:rsid w:val="00C63738"/>
    <w:rsid w:val="00C6672C"/>
    <w:rsid w:val="00C66AB9"/>
    <w:rsid w:val="00C70728"/>
    <w:rsid w:val="00C74429"/>
    <w:rsid w:val="00C74D98"/>
    <w:rsid w:val="00C75249"/>
    <w:rsid w:val="00C7550D"/>
    <w:rsid w:val="00C764BE"/>
    <w:rsid w:val="00C8134F"/>
    <w:rsid w:val="00C81B8D"/>
    <w:rsid w:val="00C86E8F"/>
    <w:rsid w:val="00C8776C"/>
    <w:rsid w:val="00C87AA6"/>
    <w:rsid w:val="00C911E6"/>
    <w:rsid w:val="00C92F62"/>
    <w:rsid w:val="00C96911"/>
    <w:rsid w:val="00CA02DA"/>
    <w:rsid w:val="00CA068D"/>
    <w:rsid w:val="00CA19A6"/>
    <w:rsid w:val="00CA2076"/>
    <w:rsid w:val="00CA35BE"/>
    <w:rsid w:val="00CB783F"/>
    <w:rsid w:val="00CB7F56"/>
    <w:rsid w:val="00CB7FC3"/>
    <w:rsid w:val="00CC27D2"/>
    <w:rsid w:val="00CC38B9"/>
    <w:rsid w:val="00CC4037"/>
    <w:rsid w:val="00CC5522"/>
    <w:rsid w:val="00CC65C4"/>
    <w:rsid w:val="00CC6F0B"/>
    <w:rsid w:val="00CD0187"/>
    <w:rsid w:val="00CD36A0"/>
    <w:rsid w:val="00CE3B51"/>
    <w:rsid w:val="00CE523D"/>
    <w:rsid w:val="00CE55EC"/>
    <w:rsid w:val="00CF14C1"/>
    <w:rsid w:val="00CF26D3"/>
    <w:rsid w:val="00CF4DBB"/>
    <w:rsid w:val="00D017BD"/>
    <w:rsid w:val="00D023DA"/>
    <w:rsid w:val="00D02697"/>
    <w:rsid w:val="00D0444B"/>
    <w:rsid w:val="00D06490"/>
    <w:rsid w:val="00D064CE"/>
    <w:rsid w:val="00D11153"/>
    <w:rsid w:val="00D12557"/>
    <w:rsid w:val="00D1272A"/>
    <w:rsid w:val="00D12E8E"/>
    <w:rsid w:val="00D151C0"/>
    <w:rsid w:val="00D16F51"/>
    <w:rsid w:val="00D21A4D"/>
    <w:rsid w:val="00D24F6E"/>
    <w:rsid w:val="00D257BE"/>
    <w:rsid w:val="00D30E7D"/>
    <w:rsid w:val="00D343A0"/>
    <w:rsid w:val="00D34C6B"/>
    <w:rsid w:val="00D34E8E"/>
    <w:rsid w:val="00D354FF"/>
    <w:rsid w:val="00D37796"/>
    <w:rsid w:val="00D37E2D"/>
    <w:rsid w:val="00D40D2C"/>
    <w:rsid w:val="00D40E6A"/>
    <w:rsid w:val="00D44ABB"/>
    <w:rsid w:val="00D46057"/>
    <w:rsid w:val="00D46FF9"/>
    <w:rsid w:val="00D5163C"/>
    <w:rsid w:val="00D52AC6"/>
    <w:rsid w:val="00D532D8"/>
    <w:rsid w:val="00D5399A"/>
    <w:rsid w:val="00D570CB"/>
    <w:rsid w:val="00D609A0"/>
    <w:rsid w:val="00D60F47"/>
    <w:rsid w:val="00D650C5"/>
    <w:rsid w:val="00D66FB6"/>
    <w:rsid w:val="00D71B39"/>
    <w:rsid w:val="00D76C20"/>
    <w:rsid w:val="00D825B7"/>
    <w:rsid w:val="00D82F11"/>
    <w:rsid w:val="00D876C3"/>
    <w:rsid w:val="00D90EFC"/>
    <w:rsid w:val="00D9144C"/>
    <w:rsid w:val="00D921B3"/>
    <w:rsid w:val="00D95FDD"/>
    <w:rsid w:val="00DA02E9"/>
    <w:rsid w:val="00DB1522"/>
    <w:rsid w:val="00DB1586"/>
    <w:rsid w:val="00DB5217"/>
    <w:rsid w:val="00DB5BBA"/>
    <w:rsid w:val="00DB6A2A"/>
    <w:rsid w:val="00DB6F92"/>
    <w:rsid w:val="00DB746E"/>
    <w:rsid w:val="00DC0BB1"/>
    <w:rsid w:val="00DC15D0"/>
    <w:rsid w:val="00DC19F6"/>
    <w:rsid w:val="00DC3266"/>
    <w:rsid w:val="00DC4A4E"/>
    <w:rsid w:val="00DC4ABD"/>
    <w:rsid w:val="00DC4AE4"/>
    <w:rsid w:val="00DD492B"/>
    <w:rsid w:val="00DD5688"/>
    <w:rsid w:val="00DD7777"/>
    <w:rsid w:val="00DE5B4A"/>
    <w:rsid w:val="00DE686A"/>
    <w:rsid w:val="00DF16A6"/>
    <w:rsid w:val="00DF1D7F"/>
    <w:rsid w:val="00DF35B7"/>
    <w:rsid w:val="00DF4CBE"/>
    <w:rsid w:val="00DF5944"/>
    <w:rsid w:val="00DF6A36"/>
    <w:rsid w:val="00DF6F4B"/>
    <w:rsid w:val="00E00827"/>
    <w:rsid w:val="00E01423"/>
    <w:rsid w:val="00E02E94"/>
    <w:rsid w:val="00E03E19"/>
    <w:rsid w:val="00E04A68"/>
    <w:rsid w:val="00E1671E"/>
    <w:rsid w:val="00E21091"/>
    <w:rsid w:val="00E22B32"/>
    <w:rsid w:val="00E23431"/>
    <w:rsid w:val="00E23AEF"/>
    <w:rsid w:val="00E24278"/>
    <w:rsid w:val="00E31D2B"/>
    <w:rsid w:val="00E33217"/>
    <w:rsid w:val="00E4065A"/>
    <w:rsid w:val="00E4373E"/>
    <w:rsid w:val="00E504DF"/>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010F"/>
    <w:rsid w:val="00E7138B"/>
    <w:rsid w:val="00E72446"/>
    <w:rsid w:val="00E72A6D"/>
    <w:rsid w:val="00E7570C"/>
    <w:rsid w:val="00E76BF9"/>
    <w:rsid w:val="00E83179"/>
    <w:rsid w:val="00E857D6"/>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507D"/>
    <w:rsid w:val="00EB5655"/>
    <w:rsid w:val="00EC02C5"/>
    <w:rsid w:val="00EC11AE"/>
    <w:rsid w:val="00EC2776"/>
    <w:rsid w:val="00EC33BF"/>
    <w:rsid w:val="00ED129B"/>
    <w:rsid w:val="00ED23BE"/>
    <w:rsid w:val="00ED3D6B"/>
    <w:rsid w:val="00EE44E1"/>
    <w:rsid w:val="00EE45FA"/>
    <w:rsid w:val="00EE50E8"/>
    <w:rsid w:val="00EE7156"/>
    <w:rsid w:val="00EE7A06"/>
    <w:rsid w:val="00EF3DBD"/>
    <w:rsid w:val="00EF7676"/>
    <w:rsid w:val="00F02640"/>
    <w:rsid w:val="00F03672"/>
    <w:rsid w:val="00F0453D"/>
    <w:rsid w:val="00F04D96"/>
    <w:rsid w:val="00F071D0"/>
    <w:rsid w:val="00F101E2"/>
    <w:rsid w:val="00F121A8"/>
    <w:rsid w:val="00F12B6B"/>
    <w:rsid w:val="00F14571"/>
    <w:rsid w:val="00F15CC9"/>
    <w:rsid w:val="00F16BC6"/>
    <w:rsid w:val="00F16C6C"/>
    <w:rsid w:val="00F16E72"/>
    <w:rsid w:val="00F170BD"/>
    <w:rsid w:val="00F1719C"/>
    <w:rsid w:val="00F1724A"/>
    <w:rsid w:val="00F17476"/>
    <w:rsid w:val="00F177A8"/>
    <w:rsid w:val="00F22005"/>
    <w:rsid w:val="00F2781D"/>
    <w:rsid w:val="00F27845"/>
    <w:rsid w:val="00F27CE8"/>
    <w:rsid w:val="00F30F45"/>
    <w:rsid w:val="00F33C84"/>
    <w:rsid w:val="00F35C33"/>
    <w:rsid w:val="00F35ED6"/>
    <w:rsid w:val="00F36831"/>
    <w:rsid w:val="00F406A0"/>
    <w:rsid w:val="00F44916"/>
    <w:rsid w:val="00F44D94"/>
    <w:rsid w:val="00F53251"/>
    <w:rsid w:val="00F7085F"/>
    <w:rsid w:val="00F7163D"/>
    <w:rsid w:val="00F73FE1"/>
    <w:rsid w:val="00F76E62"/>
    <w:rsid w:val="00F77169"/>
    <w:rsid w:val="00F77A7A"/>
    <w:rsid w:val="00F81750"/>
    <w:rsid w:val="00F84368"/>
    <w:rsid w:val="00F868AF"/>
    <w:rsid w:val="00F9083A"/>
    <w:rsid w:val="00F90C66"/>
    <w:rsid w:val="00F91E06"/>
    <w:rsid w:val="00F93BD5"/>
    <w:rsid w:val="00F9630E"/>
    <w:rsid w:val="00F97FCA"/>
    <w:rsid w:val="00FA3443"/>
    <w:rsid w:val="00FA573F"/>
    <w:rsid w:val="00FA6051"/>
    <w:rsid w:val="00FA713D"/>
    <w:rsid w:val="00FB06F8"/>
    <w:rsid w:val="00FB4195"/>
    <w:rsid w:val="00FB5FB0"/>
    <w:rsid w:val="00FC7CC4"/>
    <w:rsid w:val="00FD1A10"/>
    <w:rsid w:val="00FD23D7"/>
    <w:rsid w:val="00FD2D49"/>
    <w:rsid w:val="00FD5B9A"/>
    <w:rsid w:val="00FD7589"/>
    <w:rsid w:val="00FD7A0B"/>
    <w:rsid w:val="00FE07A3"/>
    <w:rsid w:val="00FE0DA1"/>
    <w:rsid w:val="00FE56EE"/>
    <w:rsid w:val="00FE6B58"/>
    <w:rsid w:val="00FE7140"/>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5E34"/>
  </w:style>
  <w:style w:type="character" w:customStyle="1" w:styleId="red">
    <w:name w:val="red"/>
    <w:basedOn w:val="Fuentedeprrafopredeter"/>
    <w:rsid w:val="006A01D8"/>
  </w:style>
  <w:style w:type="paragraph" w:styleId="Sinespaciado">
    <w:name w:val="No Spacing"/>
    <w:aliases w:val="Francesa"/>
    <w:link w:val="SinespaciadoCar"/>
    <w:uiPriority w:val="1"/>
    <w:qFormat/>
    <w:rsid w:val="00EC02C5"/>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C02C5"/>
    <w:rPr>
      <w:rFonts w:eastAsiaTheme="minorEastAsia"/>
      <w:sz w:val="24"/>
      <w:szCs w:val="24"/>
      <w:lang w:val="es-ES_tradnl" w:eastAsia="es-ES"/>
    </w:rPr>
  </w:style>
  <w:style w:type="character" w:styleId="nfasis">
    <w:name w:val="Emphasis"/>
    <w:basedOn w:val="Fuentedeprrafopredeter"/>
    <w:uiPriority w:val="20"/>
    <w:qFormat/>
    <w:rsid w:val="00BB24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f.gob.mx/nota_detalle.php?codigo=5272787&amp;fecha=15/10/20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6AEF-2A12-4C88-ABA6-BF7A605E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14</Pages>
  <Words>2642</Words>
  <Characters>14535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208</cp:revision>
  <cp:lastPrinted>2018-11-27T15:40:00Z</cp:lastPrinted>
  <dcterms:created xsi:type="dcterms:W3CDTF">2017-03-15T20:55:00Z</dcterms:created>
  <dcterms:modified xsi:type="dcterms:W3CDTF">2019-04-09T19:35:00Z</dcterms:modified>
</cp:coreProperties>
</file>